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FED03" w14:textId="77777777" w:rsidR="00E6429E" w:rsidRDefault="00E6429E" w:rsidP="00594A8F"/>
    <w:tbl>
      <w:tblPr>
        <w:tblStyle w:val="TableGrid"/>
        <w:tblW w:w="0" w:type="auto"/>
        <w:tblLook w:val="04A0" w:firstRow="1" w:lastRow="0" w:firstColumn="1" w:lastColumn="0" w:noHBand="0" w:noVBand="1"/>
      </w:tblPr>
      <w:tblGrid>
        <w:gridCol w:w="4667"/>
        <w:gridCol w:w="4683"/>
      </w:tblGrid>
      <w:tr w:rsidR="003044E5" w:rsidRPr="003044E5" w14:paraId="76949216" w14:textId="77777777" w:rsidTr="003044E5">
        <w:tc>
          <w:tcPr>
            <w:tcW w:w="4667" w:type="dxa"/>
            <w:tcBorders>
              <w:top w:val="single" w:sz="4" w:space="0" w:color="FFFFFF"/>
              <w:left w:val="single" w:sz="4" w:space="0" w:color="FFFFFF"/>
              <w:bottom w:val="single" w:sz="4" w:space="0" w:color="auto"/>
              <w:right w:val="single" w:sz="4" w:space="0" w:color="FFFFFF"/>
            </w:tcBorders>
          </w:tcPr>
          <w:p w14:paraId="5E8479EF" w14:textId="77777777" w:rsidR="003044E5" w:rsidRPr="003044E5" w:rsidRDefault="003044E5" w:rsidP="003044E5">
            <w:pPr>
              <w:rPr>
                <w:b/>
                <w:sz w:val="28"/>
                <w:szCs w:val="20"/>
              </w:rPr>
            </w:pPr>
            <w:bookmarkStart w:id="0" w:name="_Hlk23766867"/>
            <w:r w:rsidRPr="003044E5">
              <w:rPr>
                <w:noProof/>
                <w:szCs w:val="20"/>
              </w:rPr>
              <w:drawing>
                <wp:inline distT="0" distB="0" distL="0" distR="0" wp14:anchorId="2AACC89C" wp14:editId="4198CF54">
                  <wp:extent cx="1073150" cy="1085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977" cy="1099228"/>
                          </a:xfrm>
                          <a:prstGeom prst="rect">
                            <a:avLst/>
                          </a:prstGeom>
                          <a:noFill/>
                          <a:ln>
                            <a:noFill/>
                          </a:ln>
                        </pic:spPr>
                      </pic:pic>
                    </a:graphicData>
                  </a:graphic>
                </wp:inline>
              </w:drawing>
            </w:r>
          </w:p>
        </w:tc>
        <w:tc>
          <w:tcPr>
            <w:tcW w:w="4683" w:type="dxa"/>
            <w:tcBorders>
              <w:top w:val="single" w:sz="4" w:space="0" w:color="FFFFFF"/>
              <w:left w:val="single" w:sz="4" w:space="0" w:color="FFFFFF"/>
              <w:bottom w:val="single" w:sz="4" w:space="0" w:color="auto"/>
              <w:right w:val="single" w:sz="4" w:space="0" w:color="FFFFFF"/>
            </w:tcBorders>
            <w:vAlign w:val="bottom"/>
          </w:tcPr>
          <w:p w14:paraId="1B46AA9B" w14:textId="77777777" w:rsidR="003044E5" w:rsidRPr="003044E5" w:rsidRDefault="003044E5" w:rsidP="003044E5">
            <w:pPr>
              <w:jc w:val="right"/>
              <w:rPr>
                <w:rFonts w:ascii="Arial" w:hAnsi="Arial" w:cs="Arial"/>
                <w:i/>
                <w:iCs/>
                <w:sz w:val="20"/>
                <w:szCs w:val="20"/>
              </w:rPr>
            </w:pPr>
            <w:r w:rsidRPr="003044E5">
              <w:rPr>
                <w:rFonts w:ascii="Arial" w:hAnsi="Arial" w:cs="Arial"/>
                <w:i/>
                <w:iCs/>
                <w:sz w:val="20"/>
                <w:szCs w:val="20"/>
              </w:rPr>
              <w:t>450 E. Main Street</w:t>
            </w:r>
          </w:p>
          <w:p w14:paraId="010BBB8D" w14:textId="77777777" w:rsidR="003044E5" w:rsidRPr="003044E5" w:rsidRDefault="003044E5" w:rsidP="003044E5">
            <w:pPr>
              <w:jc w:val="right"/>
              <w:rPr>
                <w:rFonts w:ascii="Arial" w:hAnsi="Arial" w:cs="Arial"/>
                <w:i/>
                <w:iCs/>
                <w:sz w:val="20"/>
                <w:szCs w:val="20"/>
              </w:rPr>
            </w:pPr>
            <w:r w:rsidRPr="003044E5">
              <w:rPr>
                <w:rFonts w:ascii="Arial" w:hAnsi="Arial" w:cs="Arial"/>
                <w:i/>
                <w:iCs/>
                <w:sz w:val="20"/>
                <w:szCs w:val="20"/>
              </w:rPr>
              <w:t>John Day, OR 97845</w:t>
            </w:r>
          </w:p>
          <w:p w14:paraId="3A26CF63" w14:textId="77777777" w:rsidR="003044E5" w:rsidRPr="003044E5" w:rsidRDefault="00564442" w:rsidP="003044E5">
            <w:pPr>
              <w:jc w:val="right"/>
              <w:rPr>
                <w:rFonts w:ascii="Arial" w:hAnsi="Arial" w:cs="Arial"/>
                <w:i/>
                <w:iCs/>
                <w:color w:val="0000FF"/>
                <w:sz w:val="20"/>
                <w:szCs w:val="20"/>
                <w:u w:val="single"/>
              </w:rPr>
            </w:pPr>
            <w:hyperlink r:id="rId9" w:history="1">
              <w:r w:rsidR="003044E5" w:rsidRPr="003044E5">
                <w:rPr>
                  <w:rFonts w:ascii="Arial" w:hAnsi="Arial" w:cs="Arial"/>
                  <w:i/>
                  <w:iCs/>
                  <w:color w:val="0000FF"/>
                  <w:sz w:val="20"/>
                  <w:szCs w:val="20"/>
                  <w:u w:val="single"/>
                </w:rPr>
                <w:t>www.cityofjohnday.com</w:t>
              </w:r>
            </w:hyperlink>
          </w:p>
          <w:p w14:paraId="7DEEE786" w14:textId="77777777" w:rsidR="003044E5" w:rsidRPr="003044E5" w:rsidRDefault="003044E5" w:rsidP="003044E5">
            <w:pPr>
              <w:jc w:val="right"/>
              <w:rPr>
                <w:rFonts w:ascii="Arial" w:hAnsi="Arial" w:cs="Arial"/>
                <w:bCs/>
                <w:i/>
                <w:iCs/>
                <w:sz w:val="20"/>
                <w:szCs w:val="20"/>
              </w:rPr>
            </w:pPr>
            <w:r w:rsidRPr="003044E5">
              <w:rPr>
                <w:rFonts w:ascii="Arial" w:hAnsi="Arial" w:cs="Arial"/>
                <w:bCs/>
                <w:i/>
                <w:iCs/>
                <w:sz w:val="20"/>
                <w:szCs w:val="20"/>
              </w:rPr>
              <w:t>Tel: (541) 575-0028</w:t>
            </w:r>
          </w:p>
          <w:p w14:paraId="5134EDD3" w14:textId="77777777" w:rsidR="003044E5" w:rsidRPr="003044E5" w:rsidRDefault="003044E5" w:rsidP="003044E5">
            <w:pPr>
              <w:jc w:val="right"/>
              <w:rPr>
                <w:bCs/>
                <w:i/>
                <w:iCs/>
                <w:sz w:val="28"/>
                <w:szCs w:val="20"/>
              </w:rPr>
            </w:pPr>
            <w:r w:rsidRPr="003044E5">
              <w:rPr>
                <w:rFonts w:ascii="Arial" w:hAnsi="Arial" w:cs="Arial"/>
                <w:bCs/>
                <w:i/>
                <w:iCs/>
                <w:sz w:val="20"/>
                <w:szCs w:val="20"/>
              </w:rPr>
              <w:t>Fax: (541) 575-3668</w:t>
            </w:r>
          </w:p>
        </w:tc>
      </w:tr>
      <w:tr w:rsidR="003044E5" w:rsidRPr="003044E5" w14:paraId="2600C46D" w14:textId="77777777" w:rsidTr="003044E5">
        <w:tc>
          <w:tcPr>
            <w:tcW w:w="4667" w:type="dxa"/>
            <w:tcBorders>
              <w:top w:val="single" w:sz="4" w:space="0" w:color="auto"/>
              <w:left w:val="single" w:sz="4" w:space="0" w:color="FFFFFF"/>
              <w:bottom w:val="single" w:sz="4" w:space="0" w:color="FFFFFF"/>
              <w:right w:val="single" w:sz="4" w:space="0" w:color="FFFFFF"/>
            </w:tcBorders>
          </w:tcPr>
          <w:p w14:paraId="3CB55F69" w14:textId="77777777" w:rsidR="003044E5" w:rsidRPr="003044E5" w:rsidRDefault="003044E5" w:rsidP="003044E5">
            <w:pPr>
              <w:rPr>
                <w:szCs w:val="20"/>
              </w:rPr>
            </w:pPr>
          </w:p>
        </w:tc>
        <w:tc>
          <w:tcPr>
            <w:tcW w:w="4683" w:type="dxa"/>
            <w:tcBorders>
              <w:top w:val="single" w:sz="4" w:space="0" w:color="auto"/>
              <w:left w:val="single" w:sz="4" w:space="0" w:color="FFFFFF"/>
              <w:bottom w:val="single" w:sz="4" w:space="0" w:color="FFFFFF"/>
              <w:right w:val="single" w:sz="4" w:space="0" w:color="FFFFFF"/>
            </w:tcBorders>
            <w:vAlign w:val="bottom"/>
          </w:tcPr>
          <w:p w14:paraId="151A1E15" w14:textId="77777777" w:rsidR="003044E5" w:rsidRPr="003044E5" w:rsidRDefault="003044E5" w:rsidP="003044E5">
            <w:pPr>
              <w:jc w:val="right"/>
              <w:rPr>
                <w:rFonts w:ascii="Arial" w:hAnsi="Arial" w:cs="Arial"/>
                <w:i/>
                <w:iCs/>
                <w:sz w:val="21"/>
                <w:szCs w:val="21"/>
              </w:rPr>
            </w:pPr>
          </w:p>
        </w:tc>
      </w:tr>
    </w:tbl>
    <w:bookmarkEnd w:id="0"/>
    <w:p w14:paraId="067C574D" w14:textId="6D60FA59" w:rsidR="009B1BE8" w:rsidRDefault="003044E5" w:rsidP="003044E5">
      <w:pPr>
        <w:jc w:val="center"/>
      </w:pPr>
      <w:r>
        <w:rPr>
          <w:b/>
          <w:sz w:val="28"/>
          <w:szCs w:val="28"/>
        </w:rPr>
        <w:t xml:space="preserve">Conditional Use Permit </w:t>
      </w:r>
      <w:r w:rsidR="00CB558A">
        <w:rPr>
          <w:b/>
          <w:sz w:val="28"/>
          <w:szCs w:val="28"/>
        </w:rPr>
        <w:t>(Type III)</w:t>
      </w:r>
      <w:r>
        <w:rPr>
          <w:b/>
          <w:sz w:val="28"/>
          <w:szCs w:val="28"/>
        </w:rPr>
        <w:t xml:space="preserve"> </w:t>
      </w:r>
      <w:r w:rsidR="0017357B">
        <w:rPr>
          <w:b/>
          <w:sz w:val="28"/>
          <w:szCs w:val="28"/>
        </w:rPr>
        <w:t>CUP-21-02</w:t>
      </w:r>
    </w:p>
    <w:p w14:paraId="6B2DE64F" w14:textId="77777777" w:rsidR="00A81D29" w:rsidRDefault="00A81D29" w:rsidP="00594A8F"/>
    <w:p w14:paraId="5AE94D86" w14:textId="77777777" w:rsidR="007C0667" w:rsidRPr="003044E5" w:rsidRDefault="003044E5" w:rsidP="007C0667">
      <w:pPr>
        <w:jc w:val="center"/>
        <w:rPr>
          <w:b/>
          <w:u w:val="single"/>
        </w:rPr>
      </w:pPr>
      <w:r w:rsidRPr="003044E5">
        <w:rPr>
          <w:b/>
          <w:u w:val="single"/>
        </w:rPr>
        <w:t>STAFF REPORT</w:t>
      </w:r>
    </w:p>
    <w:p w14:paraId="434FEC04" w14:textId="77777777" w:rsidR="007C0667" w:rsidRDefault="007C0667" w:rsidP="007C0667">
      <w:pPr>
        <w:jc w:val="center"/>
        <w:rPr>
          <w:b/>
          <w:i/>
          <w:u w:val="single"/>
        </w:rPr>
      </w:pPr>
    </w:p>
    <w:p w14:paraId="6C1E233A" w14:textId="5E823DBB" w:rsidR="003044E5" w:rsidRPr="00E4606B" w:rsidRDefault="003044E5" w:rsidP="003044E5">
      <w:r w:rsidRPr="00E4606B">
        <w:rPr>
          <w:b/>
          <w:bCs/>
        </w:rPr>
        <w:t>Date Submitted:</w:t>
      </w:r>
      <w:r w:rsidRPr="00E4606B">
        <w:tab/>
      </w:r>
      <w:r w:rsidRPr="00E4606B">
        <w:tab/>
      </w:r>
      <w:r w:rsidRPr="00E4606B">
        <w:tab/>
      </w:r>
      <w:r w:rsidR="00564442">
        <w:t>March 31</w:t>
      </w:r>
      <w:r w:rsidR="00DE0D51">
        <w:t xml:space="preserve">, 2021 </w:t>
      </w:r>
    </w:p>
    <w:p w14:paraId="5B3A56BD" w14:textId="77777777" w:rsidR="003044E5" w:rsidRPr="00E4606B" w:rsidRDefault="003044E5" w:rsidP="003044E5"/>
    <w:p w14:paraId="681E7570" w14:textId="33242547" w:rsidR="003044E5" w:rsidRPr="00E4606B" w:rsidRDefault="003044E5" w:rsidP="003044E5">
      <w:r w:rsidRPr="00E4606B">
        <w:rPr>
          <w:b/>
          <w:bCs/>
        </w:rPr>
        <w:t>Agenda Date Requested:</w:t>
      </w:r>
      <w:r w:rsidRPr="00E4606B">
        <w:tab/>
      </w:r>
      <w:r w:rsidRPr="00E4606B">
        <w:tab/>
      </w:r>
      <w:r w:rsidR="00DE0D51">
        <w:t>April 7, 2021</w:t>
      </w:r>
    </w:p>
    <w:p w14:paraId="738C2F4A" w14:textId="77777777" w:rsidR="003044E5" w:rsidRPr="00E4606B" w:rsidRDefault="003044E5" w:rsidP="003044E5"/>
    <w:p w14:paraId="63FF0F69" w14:textId="77777777" w:rsidR="003044E5" w:rsidRPr="00E4606B" w:rsidRDefault="003044E5" w:rsidP="003044E5">
      <w:r w:rsidRPr="00E4606B">
        <w:rPr>
          <w:b/>
          <w:bCs/>
        </w:rPr>
        <w:t>To:</w:t>
      </w:r>
      <w:r w:rsidRPr="00E4606B">
        <w:tab/>
      </w:r>
      <w:r w:rsidRPr="00E4606B">
        <w:tab/>
      </w:r>
      <w:r w:rsidRPr="00E4606B">
        <w:tab/>
      </w:r>
      <w:r w:rsidRPr="00E4606B">
        <w:tab/>
      </w:r>
      <w:r w:rsidRPr="00E4606B">
        <w:tab/>
      </w:r>
      <w:r>
        <w:t>John Day Planning Commission</w:t>
      </w:r>
    </w:p>
    <w:p w14:paraId="4AFF0DC7" w14:textId="77777777" w:rsidR="003044E5" w:rsidRPr="00E4606B" w:rsidRDefault="003044E5" w:rsidP="003044E5"/>
    <w:p w14:paraId="35C074F1" w14:textId="397CE052" w:rsidR="003044E5" w:rsidRPr="00E4606B" w:rsidRDefault="003044E5" w:rsidP="003044E5">
      <w:r w:rsidRPr="00E4606B">
        <w:rPr>
          <w:b/>
          <w:bCs/>
        </w:rPr>
        <w:t>From:</w:t>
      </w:r>
      <w:r w:rsidRPr="00E4606B">
        <w:tab/>
      </w:r>
      <w:r w:rsidRPr="00E4606B">
        <w:tab/>
      </w:r>
      <w:r w:rsidRPr="00E4606B">
        <w:tab/>
      </w:r>
      <w:r w:rsidRPr="00E4606B">
        <w:tab/>
      </w:r>
      <w:r w:rsidRPr="00E4606B">
        <w:tab/>
      </w:r>
      <w:r w:rsidR="00034DE7">
        <w:t>Daisy Goebel</w:t>
      </w:r>
      <w:r>
        <w:t xml:space="preserve"> </w:t>
      </w:r>
    </w:p>
    <w:p w14:paraId="33531FBD" w14:textId="0F62275B" w:rsidR="003044E5" w:rsidRPr="00E4606B" w:rsidRDefault="00034DE7" w:rsidP="003044E5">
      <w:pPr>
        <w:ind w:left="3600"/>
      </w:pPr>
      <w:r>
        <w:t>Associate City Planner</w:t>
      </w:r>
    </w:p>
    <w:p w14:paraId="16F55580" w14:textId="77777777" w:rsidR="003044E5" w:rsidRPr="00E4606B" w:rsidRDefault="003044E5" w:rsidP="003044E5"/>
    <w:p w14:paraId="5CDDE00C" w14:textId="73AA3802" w:rsidR="003044E5" w:rsidRDefault="003044E5" w:rsidP="003044E5">
      <w:pPr>
        <w:tabs>
          <w:tab w:val="left" w:pos="3600"/>
        </w:tabs>
        <w:ind w:left="3553" w:hanging="3553"/>
      </w:pPr>
      <w:r w:rsidRPr="00E4606B">
        <w:rPr>
          <w:b/>
          <w:bCs/>
        </w:rPr>
        <w:t>Subject:</w:t>
      </w:r>
      <w:r w:rsidRPr="00E4606B">
        <w:tab/>
      </w:r>
      <w:r>
        <w:t>Conditional Use Permit (Type III Quasi-Judicial)</w:t>
      </w:r>
    </w:p>
    <w:p w14:paraId="46E91050" w14:textId="77777777" w:rsidR="003044E5" w:rsidRDefault="003044E5" w:rsidP="003044E5">
      <w:pPr>
        <w:tabs>
          <w:tab w:val="left" w:pos="3600"/>
        </w:tabs>
        <w:ind w:left="3553" w:hanging="3553"/>
      </w:pPr>
    </w:p>
    <w:p w14:paraId="7623B2BD" w14:textId="37EB3AB3" w:rsidR="003044E5" w:rsidRPr="00852248" w:rsidRDefault="003044E5" w:rsidP="003044E5">
      <w:r>
        <w:rPr>
          <w:b/>
          <w:bCs/>
        </w:rPr>
        <w:t>Location:</w:t>
      </w:r>
      <w:r>
        <w:tab/>
      </w:r>
      <w:r>
        <w:tab/>
      </w:r>
      <w:r>
        <w:tab/>
      </w:r>
      <w:r>
        <w:tab/>
      </w:r>
      <w:r w:rsidR="00034DE7" w:rsidRPr="0017357B">
        <w:rPr>
          <w:sz w:val="23"/>
          <w:szCs w:val="23"/>
        </w:rPr>
        <w:t>Address</w:t>
      </w:r>
      <w:r w:rsidR="00E13E7D">
        <w:rPr>
          <w:sz w:val="23"/>
          <w:szCs w:val="23"/>
        </w:rPr>
        <w:t xml:space="preserve"> </w:t>
      </w:r>
    </w:p>
    <w:p w14:paraId="528CE928" w14:textId="7F2B01B0" w:rsidR="003044E5" w:rsidRDefault="003044E5" w:rsidP="003044E5">
      <w:pPr>
        <w:rPr>
          <w:sz w:val="23"/>
          <w:szCs w:val="23"/>
        </w:rPr>
      </w:pPr>
      <w:r w:rsidRPr="00852248">
        <w:tab/>
      </w:r>
      <w:r w:rsidRPr="00852248">
        <w:tab/>
      </w:r>
      <w:r w:rsidRPr="00852248">
        <w:tab/>
      </w:r>
      <w:r w:rsidRPr="00852248">
        <w:tab/>
      </w:r>
      <w:r w:rsidRPr="00852248">
        <w:tab/>
      </w:r>
      <w:r>
        <w:t xml:space="preserve">Map: </w:t>
      </w:r>
      <w:r w:rsidRPr="006119D0">
        <w:rPr>
          <w:sz w:val="23"/>
          <w:szCs w:val="23"/>
        </w:rPr>
        <w:t>13S31E</w:t>
      </w:r>
      <w:r w:rsidR="006119D0">
        <w:rPr>
          <w:sz w:val="23"/>
          <w:szCs w:val="23"/>
        </w:rPr>
        <w:t>26AB Tax Lot: 8102</w:t>
      </w:r>
    </w:p>
    <w:p w14:paraId="02D97DF9" w14:textId="77777777" w:rsidR="003044E5" w:rsidRPr="008F7C1E" w:rsidRDefault="003044E5" w:rsidP="003044E5">
      <w:pPr>
        <w:rPr>
          <w:b/>
          <w:bCs/>
          <w:sz w:val="23"/>
          <w:szCs w:val="23"/>
        </w:rPr>
      </w:pPr>
    </w:p>
    <w:p w14:paraId="6CC27626" w14:textId="79613DBC" w:rsidR="003044E5" w:rsidRPr="00072526" w:rsidRDefault="003044E5" w:rsidP="003044E5">
      <w:pPr>
        <w:rPr>
          <w:bCs/>
          <w:sz w:val="23"/>
          <w:szCs w:val="23"/>
        </w:rPr>
      </w:pPr>
      <w:r w:rsidRPr="008F7C1E">
        <w:rPr>
          <w:b/>
          <w:bCs/>
          <w:sz w:val="23"/>
          <w:szCs w:val="23"/>
        </w:rPr>
        <w:t>Type of Action Requested:</w:t>
      </w:r>
      <w:r w:rsidR="00072526">
        <w:rPr>
          <w:b/>
          <w:bCs/>
          <w:sz w:val="23"/>
          <w:szCs w:val="23"/>
        </w:rPr>
        <w:tab/>
      </w:r>
      <w:r w:rsidR="00072526">
        <w:rPr>
          <w:b/>
          <w:bCs/>
          <w:sz w:val="23"/>
          <w:szCs w:val="23"/>
        </w:rPr>
        <w:tab/>
      </w:r>
      <w:r w:rsidR="00072526">
        <w:rPr>
          <w:bCs/>
          <w:sz w:val="23"/>
          <w:szCs w:val="23"/>
        </w:rPr>
        <w:t>Conditional Use Permit for RV Accessory Structure</w:t>
      </w:r>
    </w:p>
    <w:p w14:paraId="7B3B6E97" w14:textId="77777777" w:rsidR="003044E5" w:rsidRDefault="003044E5" w:rsidP="003044E5">
      <w:pPr>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44E5" w14:paraId="0FFEBD83" w14:textId="77777777" w:rsidTr="005134E5">
        <w:tc>
          <w:tcPr>
            <w:tcW w:w="4675" w:type="dxa"/>
          </w:tcPr>
          <w:p w14:paraId="320E7F15" w14:textId="77777777" w:rsidR="003044E5" w:rsidRPr="008F7C1E" w:rsidRDefault="003044E5" w:rsidP="005134E5">
            <w:pPr>
              <w:rPr>
                <w:b/>
                <w:bCs/>
              </w:rPr>
            </w:pPr>
            <w:r w:rsidRPr="008F7C1E">
              <w:rPr>
                <w:b/>
                <w:bCs/>
              </w:rPr>
              <w:t>[          ]         Resolution</w:t>
            </w:r>
          </w:p>
        </w:tc>
        <w:tc>
          <w:tcPr>
            <w:tcW w:w="4675" w:type="dxa"/>
          </w:tcPr>
          <w:p w14:paraId="712E1594" w14:textId="77777777" w:rsidR="003044E5" w:rsidRPr="008F7C1E" w:rsidRDefault="003044E5" w:rsidP="005134E5">
            <w:pPr>
              <w:rPr>
                <w:b/>
                <w:bCs/>
                <w:color w:val="FF0000"/>
              </w:rPr>
            </w:pPr>
            <w:r w:rsidRPr="008F7C1E">
              <w:rPr>
                <w:b/>
                <w:bCs/>
              </w:rPr>
              <w:t>[          ]         Ordinance</w:t>
            </w:r>
          </w:p>
        </w:tc>
      </w:tr>
      <w:tr w:rsidR="003044E5" w14:paraId="4A58DAFB" w14:textId="77777777" w:rsidTr="005134E5">
        <w:tc>
          <w:tcPr>
            <w:tcW w:w="4675" w:type="dxa"/>
          </w:tcPr>
          <w:p w14:paraId="3AB9100D" w14:textId="77777777" w:rsidR="003044E5" w:rsidRPr="008F7C1E" w:rsidRDefault="003044E5" w:rsidP="005134E5">
            <w:pPr>
              <w:rPr>
                <w:b/>
                <w:bCs/>
                <w:color w:val="FF0000"/>
              </w:rPr>
            </w:pPr>
            <w:r w:rsidRPr="008F7C1E">
              <w:rPr>
                <w:b/>
                <w:bCs/>
              </w:rPr>
              <w:t xml:space="preserve">[    </w:t>
            </w:r>
            <w:r>
              <w:rPr>
                <w:b/>
                <w:bCs/>
              </w:rPr>
              <w:t xml:space="preserve">X </w:t>
            </w:r>
            <w:r w:rsidRPr="008F7C1E">
              <w:rPr>
                <w:b/>
                <w:bCs/>
              </w:rPr>
              <w:t xml:space="preserve">  ]         Formal Action</w:t>
            </w:r>
          </w:p>
        </w:tc>
        <w:tc>
          <w:tcPr>
            <w:tcW w:w="4675" w:type="dxa"/>
          </w:tcPr>
          <w:p w14:paraId="68A984CF" w14:textId="77777777" w:rsidR="003044E5" w:rsidRPr="008F7C1E" w:rsidRDefault="003044E5" w:rsidP="005134E5">
            <w:pPr>
              <w:rPr>
                <w:b/>
                <w:bCs/>
                <w:color w:val="FF0000"/>
              </w:rPr>
            </w:pPr>
            <w:r w:rsidRPr="008F7C1E">
              <w:rPr>
                <w:b/>
                <w:bCs/>
              </w:rPr>
              <w:t>[          ]         Report Only</w:t>
            </w:r>
          </w:p>
        </w:tc>
      </w:tr>
    </w:tbl>
    <w:p w14:paraId="4DD5AA98" w14:textId="77777777" w:rsidR="003044E5" w:rsidRPr="008F7C1E" w:rsidRDefault="003044E5" w:rsidP="003044E5">
      <w:pPr>
        <w:rPr>
          <w:b/>
          <w:bCs/>
          <w:color w:val="FF0000"/>
        </w:rPr>
      </w:pPr>
    </w:p>
    <w:p w14:paraId="18FE7A23" w14:textId="77777777" w:rsidR="003044E5" w:rsidRPr="00E4606B" w:rsidRDefault="003044E5" w:rsidP="003044E5">
      <w:r>
        <w:t>----------------------------------------------------------------------------------------------------------</w:t>
      </w:r>
    </w:p>
    <w:p w14:paraId="3926CB1B" w14:textId="1FAD2556" w:rsidR="006119D0" w:rsidRPr="00B6128F" w:rsidRDefault="008C56AB" w:rsidP="006119D0">
      <w:pPr>
        <w:pStyle w:val="ListParagraph"/>
        <w:numPr>
          <w:ilvl w:val="0"/>
          <w:numId w:val="19"/>
        </w:numPr>
        <w:rPr>
          <w:b/>
        </w:rPr>
      </w:pPr>
      <w:r w:rsidRPr="003044E5">
        <w:rPr>
          <w:b/>
        </w:rPr>
        <w:t>BACKGROUND</w:t>
      </w:r>
    </w:p>
    <w:p w14:paraId="35F5C48C" w14:textId="77777777" w:rsidR="006119D0" w:rsidRPr="006119D0" w:rsidRDefault="006119D0" w:rsidP="006119D0">
      <w:pPr>
        <w:ind w:left="360"/>
        <w:rPr>
          <w:b/>
        </w:rPr>
      </w:pPr>
    </w:p>
    <w:p w14:paraId="16CF42EB" w14:textId="4E8543A5" w:rsidR="006119D0" w:rsidRPr="00C31C04" w:rsidRDefault="006119D0" w:rsidP="006119D0">
      <w:pPr>
        <w:pStyle w:val="Default"/>
        <w:ind w:left="360"/>
        <w:rPr>
          <w:color w:val="auto"/>
          <w:sz w:val="23"/>
          <w:szCs w:val="23"/>
        </w:rPr>
      </w:pPr>
      <w:r>
        <w:rPr>
          <w:color w:val="auto"/>
          <w:sz w:val="23"/>
          <w:szCs w:val="23"/>
        </w:rPr>
        <w:t xml:space="preserve">Cody Weaver, the owner of record for the property located at 316 Ferguson Rd., has requested a Conditional Use Permit to allow an increase on the permitted height for a proposed accessory structure to be used for recreational vehicle storage. The property is zoned Residential Limited (RL) which allows the property owner to construct an accessory structure with an approved use no taller than 14 </w:t>
      </w:r>
      <w:r w:rsidR="00564442">
        <w:rPr>
          <w:color w:val="auto"/>
          <w:sz w:val="23"/>
          <w:szCs w:val="23"/>
        </w:rPr>
        <w:t>ft.</w:t>
      </w:r>
      <w:r>
        <w:rPr>
          <w:color w:val="auto"/>
          <w:sz w:val="23"/>
          <w:szCs w:val="23"/>
        </w:rPr>
        <w:t xml:space="preserve"> in height and no larger than 1,000 </w:t>
      </w:r>
      <w:r w:rsidR="00564442">
        <w:rPr>
          <w:color w:val="auto"/>
          <w:sz w:val="23"/>
          <w:szCs w:val="23"/>
        </w:rPr>
        <w:t>sq.</w:t>
      </w:r>
      <w:r>
        <w:rPr>
          <w:color w:val="auto"/>
          <w:sz w:val="23"/>
          <w:szCs w:val="23"/>
        </w:rPr>
        <w:t xml:space="preserve"> </w:t>
      </w:r>
      <w:r w:rsidR="00564442">
        <w:rPr>
          <w:color w:val="auto"/>
          <w:sz w:val="23"/>
          <w:szCs w:val="23"/>
        </w:rPr>
        <w:t>ft.</w:t>
      </w:r>
      <w:r>
        <w:rPr>
          <w:color w:val="auto"/>
          <w:sz w:val="23"/>
          <w:szCs w:val="23"/>
        </w:rPr>
        <w:t xml:space="preserve"> in area. The proposed accessory structure will be 15’ 7” in order to accommodate an RV, so the request must be approved by the city Planning Commission as a conditional use permit.  </w:t>
      </w:r>
    </w:p>
    <w:p w14:paraId="249ACCFA" w14:textId="77777777" w:rsidR="005241E7" w:rsidRDefault="005241E7" w:rsidP="007C0667">
      <w:pPr>
        <w:rPr>
          <w:b/>
          <w:u w:val="single"/>
        </w:rPr>
      </w:pPr>
    </w:p>
    <w:p w14:paraId="2CC43477" w14:textId="77777777" w:rsidR="000504E8" w:rsidRDefault="000504E8" w:rsidP="007C0667">
      <w:pPr>
        <w:rPr>
          <w:b/>
          <w:u w:val="single"/>
        </w:rPr>
      </w:pPr>
    </w:p>
    <w:p w14:paraId="7E1D96F6" w14:textId="77777777" w:rsidR="007D5407" w:rsidRPr="003044E5" w:rsidRDefault="003044E5" w:rsidP="003044E5">
      <w:pPr>
        <w:pStyle w:val="ListParagraph"/>
        <w:numPr>
          <w:ilvl w:val="0"/>
          <w:numId w:val="19"/>
        </w:numPr>
        <w:rPr>
          <w:b/>
        </w:rPr>
      </w:pPr>
      <w:r>
        <w:rPr>
          <w:b/>
        </w:rPr>
        <w:t>APPLICABLE CRITERIA</w:t>
      </w:r>
    </w:p>
    <w:p w14:paraId="5035647C" w14:textId="77777777" w:rsidR="00E93F15" w:rsidRDefault="00E93F15" w:rsidP="007C0667">
      <w:pPr>
        <w:rPr>
          <w:b/>
          <w:u w:val="single"/>
        </w:rPr>
      </w:pPr>
    </w:p>
    <w:p w14:paraId="2B5CD279" w14:textId="25381A41" w:rsidR="00DC0FAD" w:rsidRDefault="00DC0FAD" w:rsidP="003044E5">
      <w:pPr>
        <w:ind w:left="360"/>
      </w:pPr>
      <w:r>
        <w:t xml:space="preserve">The City of John Day Development Code (the Code) </w:t>
      </w:r>
      <w:r w:rsidR="006844AE">
        <w:t xml:space="preserve">governs the procedure for reviewing Conditional Use Permits. </w:t>
      </w:r>
      <w:r>
        <w:t xml:space="preserve">All land use and development permit applications and approvals, except building permits, shall be decided by using the procedures contained in Chapter 5-4 of the Code. The procedure “type” assigned to each application governs the decision-making process for that permit or approval. </w:t>
      </w:r>
    </w:p>
    <w:p w14:paraId="2303353D" w14:textId="77777777" w:rsidR="00DC0FAD" w:rsidRDefault="00DC0FAD" w:rsidP="00DC0FAD"/>
    <w:p w14:paraId="4D1E315D" w14:textId="77777777" w:rsidR="00E91CE9" w:rsidRDefault="00DC0FAD" w:rsidP="003044E5">
      <w:pPr>
        <w:ind w:left="360"/>
      </w:pPr>
      <w:r>
        <w:t>An application for a new conditional use shall be processed as a Type III procedure, per Section 5-4.1.040 of the Code. The application shall meet submission requirements in Section 5-4.4.030, and the approval criteria contained in Section 5-4.4.040.</w:t>
      </w:r>
    </w:p>
    <w:p w14:paraId="1A588C36" w14:textId="77777777" w:rsidR="00E91CE9" w:rsidRDefault="00E91CE9" w:rsidP="00E91CE9"/>
    <w:p w14:paraId="5207BBC6" w14:textId="7141D7B9" w:rsidR="00E93F15" w:rsidRDefault="00E93F15" w:rsidP="003044E5">
      <w:pPr>
        <w:ind w:left="360"/>
      </w:pPr>
      <w:r>
        <w:t>Staff has reviewed the application pursuant to the Code and the requirements</w:t>
      </w:r>
      <w:r w:rsidR="00B06AA9">
        <w:t xml:space="preserve"> f</w:t>
      </w:r>
      <w:r w:rsidR="001673A5">
        <w:t>or a conditional use permit.</w:t>
      </w:r>
      <w:r w:rsidR="003044E5">
        <w:t xml:space="preserve"> </w:t>
      </w:r>
      <w:r>
        <w:t>The application was deemed technically complete (ready for review) on</w:t>
      </w:r>
      <w:r w:rsidR="00B6128F">
        <w:t xml:space="preserve"> March 9, 2021</w:t>
      </w:r>
      <w:r w:rsidR="00DC0FAD">
        <w:t xml:space="preserve">. </w:t>
      </w:r>
      <w:r>
        <w:t xml:space="preserve">The City must make a final decision, including a final city council decision on any appeal, within 120 days, or </w:t>
      </w:r>
      <w:r w:rsidR="00AE0083">
        <w:t xml:space="preserve">by </w:t>
      </w:r>
      <w:r w:rsidR="00B6128F">
        <w:t xml:space="preserve">July 7, 2021. </w:t>
      </w:r>
    </w:p>
    <w:p w14:paraId="0DBB71B3" w14:textId="77777777" w:rsidR="008C56AB" w:rsidRDefault="008C56AB" w:rsidP="00E91CE9"/>
    <w:p w14:paraId="6B05A08A" w14:textId="77777777" w:rsidR="008C56AB" w:rsidRPr="003044E5" w:rsidRDefault="003044E5" w:rsidP="003044E5">
      <w:pPr>
        <w:pStyle w:val="ListParagraph"/>
        <w:numPr>
          <w:ilvl w:val="0"/>
          <w:numId w:val="19"/>
        </w:numPr>
        <w:rPr>
          <w:b/>
        </w:rPr>
      </w:pPr>
      <w:r>
        <w:rPr>
          <w:b/>
        </w:rPr>
        <w:t>PUBLIC NOTIFICATION</w:t>
      </w:r>
    </w:p>
    <w:p w14:paraId="51ECB708" w14:textId="77777777" w:rsidR="008C56AB" w:rsidRDefault="008C56AB" w:rsidP="008C56AB"/>
    <w:p w14:paraId="01369323" w14:textId="195D39B2" w:rsidR="008C56AB" w:rsidRDefault="008C56AB" w:rsidP="003044E5">
      <w:pPr>
        <w:ind w:left="360"/>
      </w:pPr>
      <w:r>
        <w:t>The City of John Day mailed public hearing notices to the applicant and property owners with</w:t>
      </w:r>
      <w:r w:rsidR="00034DE7">
        <w:t xml:space="preserve">in 100-feet of the subject site on </w:t>
      </w:r>
      <w:r w:rsidR="00BD4BB1">
        <w:t>March, 12, 2021</w:t>
      </w:r>
      <w:r w:rsidR="00034DE7" w:rsidRPr="00B6128F">
        <w:t>.</w:t>
      </w:r>
      <w:r w:rsidR="00034DE7">
        <w:t xml:space="preserve"> N</w:t>
      </w:r>
      <w:r>
        <w:t>otice of the hearing was printed in The Blue Mountain Eagle</w:t>
      </w:r>
      <w:r w:rsidR="00034DE7">
        <w:t xml:space="preserve"> on </w:t>
      </w:r>
      <w:r w:rsidR="00BD4BB1">
        <w:t xml:space="preserve">March 24, 2021 as required by the Code. </w:t>
      </w:r>
    </w:p>
    <w:p w14:paraId="25B76867" w14:textId="77777777" w:rsidR="008C56AB" w:rsidRDefault="008C56AB" w:rsidP="008C56AB"/>
    <w:p w14:paraId="082D0439" w14:textId="77777777" w:rsidR="008C56AB" w:rsidRPr="003044E5" w:rsidRDefault="003044E5" w:rsidP="003044E5">
      <w:pPr>
        <w:pStyle w:val="ListParagraph"/>
        <w:numPr>
          <w:ilvl w:val="0"/>
          <w:numId w:val="19"/>
        </w:numPr>
        <w:rPr>
          <w:b/>
        </w:rPr>
      </w:pPr>
      <w:r>
        <w:rPr>
          <w:b/>
        </w:rPr>
        <w:t>BURDEN OF PROOF</w:t>
      </w:r>
    </w:p>
    <w:p w14:paraId="4207C4A7" w14:textId="77777777" w:rsidR="008C56AB" w:rsidRDefault="008C56AB" w:rsidP="008C56AB"/>
    <w:p w14:paraId="3F1016DE" w14:textId="77777777" w:rsidR="00E93F15" w:rsidRDefault="008C56AB" w:rsidP="003044E5">
      <w:pPr>
        <w:ind w:left="360"/>
      </w:pPr>
      <w:r>
        <w:t>The applicant has the burden of demonstrating that the proposal meets all applicable Code requirements. The applicant is also responsible for complying with building code requirements and applicable state or federal requirements. It is the Planning Commission’s responsibility to interpret the Code based on findings of fact.</w:t>
      </w:r>
    </w:p>
    <w:p w14:paraId="674A1CDC" w14:textId="77777777" w:rsidR="003044E5" w:rsidRDefault="003044E5" w:rsidP="003044E5">
      <w:pPr>
        <w:ind w:left="360"/>
      </w:pPr>
    </w:p>
    <w:p w14:paraId="21421870" w14:textId="77777777" w:rsidR="003044E5" w:rsidRPr="003044E5" w:rsidRDefault="003044E5" w:rsidP="003044E5">
      <w:pPr>
        <w:pStyle w:val="ListParagraph"/>
        <w:numPr>
          <w:ilvl w:val="0"/>
          <w:numId w:val="19"/>
        </w:numPr>
        <w:contextualSpacing/>
        <w:rPr>
          <w:b/>
          <w:bCs/>
        </w:rPr>
      </w:pPr>
      <w:r w:rsidRPr="003044E5">
        <w:rPr>
          <w:b/>
          <w:bCs/>
        </w:rPr>
        <w:t>PLANNING COMMISSION AND CITY COUNCIL CONSIDERATIONS</w:t>
      </w:r>
    </w:p>
    <w:p w14:paraId="7FB04578" w14:textId="77777777" w:rsidR="003044E5" w:rsidRPr="00F347D0" w:rsidRDefault="003044E5" w:rsidP="003044E5">
      <w:r w:rsidRPr="00F347D0">
        <w:t xml:space="preserve">  </w:t>
      </w:r>
    </w:p>
    <w:p w14:paraId="2866030F" w14:textId="77777777" w:rsidR="003044E5" w:rsidRDefault="003044E5" w:rsidP="003044E5">
      <w:pPr>
        <w:ind w:left="360"/>
      </w:pPr>
      <w:r w:rsidRPr="003044E5">
        <w:t>The Planning Commission’s review must focus on the rel</w:t>
      </w:r>
      <w:r>
        <w:t xml:space="preserve">evant code criteria and follow </w:t>
      </w:r>
      <w:r w:rsidRPr="003044E5">
        <w:t xml:space="preserve">the public hearing requirements for a Type III </w:t>
      </w:r>
      <w:r w:rsidR="007F6344">
        <w:t>procedure</w:t>
      </w:r>
      <w:r>
        <w:t xml:space="preserve"> under section 5-</w:t>
      </w:r>
      <w:r w:rsidRPr="003044E5">
        <w:t>4.1.040.</w:t>
      </w:r>
    </w:p>
    <w:p w14:paraId="6C9010AB" w14:textId="77777777" w:rsidR="00050AF6" w:rsidRDefault="00050AF6" w:rsidP="003044E5">
      <w:pPr>
        <w:ind w:left="360"/>
      </w:pPr>
    </w:p>
    <w:p w14:paraId="6DDC4F21" w14:textId="77777777" w:rsidR="00050AF6" w:rsidRPr="00050AF6" w:rsidRDefault="00050AF6" w:rsidP="00050AF6">
      <w:pPr>
        <w:pStyle w:val="ListParagraph"/>
        <w:numPr>
          <w:ilvl w:val="0"/>
          <w:numId w:val="19"/>
        </w:numPr>
      </w:pPr>
      <w:r>
        <w:rPr>
          <w:b/>
        </w:rPr>
        <w:t>STAFF RECOMMENDATION</w:t>
      </w:r>
    </w:p>
    <w:p w14:paraId="37D48B1E" w14:textId="77777777" w:rsidR="00050AF6" w:rsidRDefault="00050AF6" w:rsidP="00050AF6"/>
    <w:p w14:paraId="6FE9C78D" w14:textId="2083E8BD" w:rsidR="00050AF6" w:rsidRDefault="00050AF6" w:rsidP="00050AF6">
      <w:pPr>
        <w:ind w:left="360"/>
        <w:rPr>
          <w:b/>
          <w:u w:val="single"/>
        </w:rPr>
      </w:pPr>
      <w:r>
        <w:t xml:space="preserve">Staff recommends that the Planning Commission </w:t>
      </w:r>
      <w:r>
        <w:rPr>
          <w:b/>
          <w:u w:val="single"/>
        </w:rPr>
        <w:t xml:space="preserve">approve the request for </w:t>
      </w:r>
      <w:r w:rsidR="00863228">
        <w:rPr>
          <w:b/>
          <w:u w:val="single"/>
        </w:rPr>
        <w:t xml:space="preserve">conditional use permit </w:t>
      </w:r>
      <w:r w:rsidR="00700B2B">
        <w:rPr>
          <w:b/>
          <w:color w:val="000000" w:themeColor="text1"/>
          <w:u w:val="single"/>
        </w:rPr>
        <w:t xml:space="preserve">CUP 21-02. </w:t>
      </w:r>
      <w:r w:rsidR="00774B65" w:rsidRPr="00774B65">
        <w:t>I</w:t>
      </w:r>
      <w:r w:rsidR="006C196D" w:rsidRPr="00774B65">
        <w:t>t</w:t>
      </w:r>
      <w:r w:rsidR="006C196D" w:rsidRPr="00A00894">
        <w:t xml:space="preserve"> is the applicant’s responsibility to demonstrate compliance with the conditions of approval.</w:t>
      </w:r>
    </w:p>
    <w:p w14:paraId="76995B43" w14:textId="77777777" w:rsidR="00050AF6" w:rsidRDefault="00050AF6" w:rsidP="00AE0083">
      <w:pPr>
        <w:rPr>
          <w:b/>
          <w:u w:val="single"/>
        </w:rPr>
      </w:pPr>
    </w:p>
    <w:p w14:paraId="744F2108" w14:textId="77777777" w:rsidR="00E93F15" w:rsidRPr="00050AF6" w:rsidRDefault="00E93F15" w:rsidP="00050AF6">
      <w:pPr>
        <w:pStyle w:val="ListParagraph"/>
        <w:numPr>
          <w:ilvl w:val="0"/>
          <w:numId w:val="19"/>
        </w:numPr>
        <w:rPr>
          <w:b/>
          <w:u w:val="single"/>
        </w:rPr>
      </w:pPr>
      <w:r w:rsidRPr="00050AF6">
        <w:rPr>
          <w:b/>
        </w:rPr>
        <w:t>APPROVAL CRITERIA</w:t>
      </w:r>
      <w:r w:rsidR="00050AF6">
        <w:rPr>
          <w:b/>
        </w:rPr>
        <w:t xml:space="preserve"> AND FINDINGS</w:t>
      </w:r>
    </w:p>
    <w:p w14:paraId="1AB32E50" w14:textId="77777777" w:rsidR="00E93F15" w:rsidRDefault="00E93F15" w:rsidP="007C0667">
      <w:pPr>
        <w:rPr>
          <w:b/>
          <w:u w:val="single"/>
        </w:rPr>
      </w:pPr>
    </w:p>
    <w:p w14:paraId="67047705" w14:textId="77777777" w:rsidR="00C60776" w:rsidRDefault="00C60776" w:rsidP="00050AF6">
      <w:pPr>
        <w:ind w:left="360"/>
      </w:pPr>
      <w:r>
        <w:t>John Day Development Code Section 5-4.4.040 Conditional Use Permits – Criteria, Standards and Conditions of Approval contains the applicable approval criteria for the condi</w:t>
      </w:r>
      <w:r w:rsidR="001673A5">
        <w:t xml:space="preserve">tional use permit application. </w:t>
      </w:r>
      <w:r w:rsidR="0065328D">
        <w:t>The Planning Commission’s evaluation of the project must focus on the relevant code criteria under Section 5-4.4.040 and follow the</w:t>
      </w:r>
      <w:r w:rsidR="00050AF6">
        <w:t xml:space="preserve"> public hearing procedures for </w:t>
      </w:r>
      <w:r w:rsidR="0065328D">
        <w:t>Type III (quasi-judicial) review under Section 5-4.1.040</w:t>
      </w:r>
      <w:r w:rsidR="006E1A20">
        <w:t>.</w:t>
      </w:r>
    </w:p>
    <w:p w14:paraId="3156F15B" w14:textId="77777777" w:rsidR="006E1A20" w:rsidRDefault="006E1A20" w:rsidP="007C0667"/>
    <w:p w14:paraId="6803BF5A" w14:textId="5659151A" w:rsidR="00243E2A" w:rsidRDefault="00C60776" w:rsidP="00243E2A">
      <w:pPr>
        <w:ind w:left="360"/>
      </w:pPr>
      <w:r>
        <w:t xml:space="preserve">The applicable code criteria are provided below in </w:t>
      </w:r>
      <w:r>
        <w:rPr>
          <w:i/>
        </w:rPr>
        <w:t>italics</w:t>
      </w:r>
      <w:r>
        <w:t xml:space="preserve"> typeface; staff’s findings follow each code </w:t>
      </w:r>
      <w:r w:rsidR="001673A5">
        <w:t xml:space="preserve">provision in regular typeface. </w:t>
      </w:r>
      <w:r>
        <w:t>The findings, which are based on information submitted by t</w:t>
      </w:r>
      <w:r w:rsidR="001673A5">
        <w:t xml:space="preserve">he applicant, are preliminary. </w:t>
      </w:r>
      <w:r>
        <w:t>The plans, exhibits, and narrative submitted by the applicant and used in making the findings are attached to this report and include:</w:t>
      </w:r>
    </w:p>
    <w:p w14:paraId="1AB1F8E8" w14:textId="77777777" w:rsidR="00B06AA9" w:rsidRDefault="00B06AA9" w:rsidP="007C0667"/>
    <w:p w14:paraId="237052BF" w14:textId="23FF9C39" w:rsidR="00034DE7" w:rsidRDefault="00E34A70" w:rsidP="00700B2B">
      <w:pPr>
        <w:numPr>
          <w:ilvl w:val="0"/>
          <w:numId w:val="13"/>
        </w:numPr>
        <w:rPr>
          <w:color w:val="000000" w:themeColor="text1"/>
        </w:rPr>
      </w:pPr>
      <w:r w:rsidRPr="00700B2B">
        <w:rPr>
          <w:color w:val="000000" w:themeColor="text1"/>
        </w:rPr>
        <w:t>Application</w:t>
      </w:r>
      <w:r w:rsidR="00E3036D" w:rsidRPr="00700B2B">
        <w:rPr>
          <w:color w:val="000000" w:themeColor="text1"/>
        </w:rPr>
        <w:t xml:space="preserve"> (Exhibit A)</w:t>
      </w:r>
    </w:p>
    <w:p w14:paraId="2018F905" w14:textId="0102E316" w:rsidR="00564442" w:rsidRPr="00700B2B" w:rsidRDefault="00564442" w:rsidP="00700B2B">
      <w:pPr>
        <w:numPr>
          <w:ilvl w:val="0"/>
          <w:numId w:val="13"/>
        </w:numPr>
        <w:rPr>
          <w:color w:val="000000" w:themeColor="text1"/>
        </w:rPr>
      </w:pPr>
      <w:r>
        <w:rPr>
          <w:color w:val="000000" w:themeColor="text1"/>
        </w:rPr>
        <w:t>Site Diagrams (Exhibit B)</w:t>
      </w:r>
      <w:bookmarkStart w:id="1" w:name="_GoBack"/>
      <w:bookmarkEnd w:id="1"/>
    </w:p>
    <w:p w14:paraId="18283998" w14:textId="77777777" w:rsidR="00863228" w:rsidRPr="00A00894" w:rsidRDefault="00863228" w:rsidP="00A60FAA"/>
    <w:p w14:paraId="3A260C9B" w14:textId="77777777" w:rsidR="00A60FAA" w:rsidRPr="00A00894" w:rsidRDefault="00A60FAA" w:rsidP="00050AF6">
      <w:pPr>
        <w:ind w:left="360"/>
      </w:pPr>
      <w:r w:rsidRPr="00A00894">
        <w:lastRenderedPageBreak/>
        <w:t>All of the above documents are hereby incorporated and made part of the public record.</w:t>
      </w:r>
    </w:p>
    <w:p w14:paraId="60BE788A" w14:textId="77777777" w:rsidR="00A60FAA" w:rsidRPr="00A00894" w:rsidRDefault="00A60FAA" w:rsidP="00A60FAA"/>
    <w:p w14:paraId="062324FF" w14:textId="77777777" w:rsidR="00A60FAA" w:rsidRPr="00A00894" w:rsidRDefault="00A60FAA" w:rsidP="00050AF6">
      <w:pPr>
        <w:ind w:left="360"/>
      </w:pPr>
      <w:r w:rsidRPr="00A00894">
        <w:t>The application and staff report findings may be modified based on factual information entered into the public hearing record b</w:t>
      </w:r>
      <w:r w:rsidR="001673A5" w:rsidRPr="00A00894">
        <w:t xml:space="preserve">efore the close of the record. </w:t>
      </w:r>
      <w:r w:rsidRPr="00A00894">
        <w:t>Members of the public who have questions about the proposal or who would like to submit oral or written testimony are encouraged to appear at the public hearing or provide written testimony before the close of the hearing</w:t>
      </w:r>
      <w:r w:rsidR="00DA57BD" w:rsidRPr="00A00894">
        <w:t>.</w:t>
      </w:r>
      <w:r w:rsidR="00DE6E1C" w:rsidRPr="00A00894">
        <w:t xml:space="preserve"> </w:t>
      </w:r>
      <w:r w:rsidR="00295EC9" w:rsidRPr="00A00894">
        <w:t>Testimony should respond directly to the following criteria.</w:t>
      </w:r>
    </w:p>
    <w:p w14:paraId="0D4EFC78" w14:textId="77777777" w:rsidR="00D45AD4" w:rsidRPr="00A00894" w:rsidRDefault="00D45AD4" w:rsidP="00A60FAA"/>
    <w:p w14:paraId="2A38330E" w14:textId="77777777" w:rsidR="00CA363C" w:rsidRPr="00A00894" w:rsidRDefault="008C56AB" w:rsidP="00CA363C">
      <w:pPr>
        <w:rPr>
          <w:b/>
          <w:i/>
        </w:rPr>
      </w:pPr>
      <w:r w:rsidRPr="00A00894">
        <w:rPr>
          <w:b/>
          <w:i/>
        </w:rPr>
        <w:t xml:space="preserve">5-4.4.040 </w:t>
      </w:r>
      <w:r w:rsidR="00CA363C" w:rsidRPr="00A00894">
        <w:rPr>
          <w:b/>
          <w:i/>
        </w:rPr>
        <w:t>Conditional Use Permits – Criteria, Standards and Conditions of Approval</w:t>
      </w:r>
    </w:p>
    <w:p w14:paraId="490B610C" w14:textId="77777777" w:rsidR="00CA363C" w:rsidRPr="00A00894" w:rsidRDefault="00CA363C" w:rsidP="00CA363C">
      <w:pPr>
        <w:rPr>
          <w:b/>
        </w:rPr>
      </w:pPr>
    </w:p>
    <w:p w14:paraId="5496F5B4" w14:textId="77777777" w:rsidR="00CA363C" w:rsidRPr="00A00894" w:rsidRDefault="00CA363C" w:rsidP="00050AF6">
      <w:pPr>
        <w:rPr>
          <w:i/>
        </w:rPr>
      </w:pPr>
      <w:r w:rsidRPr="00A00894">
        <w:rPr>
          <w:i/>
        </w:rPr>
        <w:t>The City shall approve, approve with conditions, or deny an application for a conditional use or to enlarge or alter a conditional use based on findings of fact with respect to each of the standards and criteria in A-C.</w:t>
      </w:r>
    </w:p>
    <w:p w14:paraId="3E5CED42" w14:textId="77777777" w:rsidR="00CA363C" w:rsidRPr="00A00894" w:rsidRDefault="00CA363C" w:rsidP="00CA363C">
      <w:pPr>
        <w:rPr>
          <w:b/>
          <w:i/>
        </w:rPr>
      </w:pPr>
    </w:p>
    <w:p w14:paraId="0E06C1EA" w14:textId="77777777" w:rsidR="00050AF6" w:rsidRPr="00050AF6" w:rsidRDefault="00CA363C" w:rsidP="00050AF6">
      <w:pPr>
        <w:pStyle w:val="ListParagraph"/>
        <w:numPr>
          <w:ilvl w:val="0"/>
          <w:numId w:val="21"/>
        </w:numPr>
        <w:rPr>
          <w:i/>
        </w:rPr>
      </w:pPr>
      <w:r w:rsidRPr="00050AF6">
        <w:rPr>
          <w:i/>
        </w:rPr>
        <w:t xml:space="preserve">Use Criteria </w:t>
      </w:r>
    </w:p>
    <w:p w14:paraId="3449E5AE" w14:textId="77777777" w:rsidR="00CA363C" w:rsidRPr="00050AF6" w:rsidRDefault="00CA363C" w:rsidP="00050AF6">
      <w:pPr>
        <w:pStyle w:val="ListParagraph"/>
        <w:numPr>
          <w:ilvl w:val="1"/>
          <w:numId w:val="21"/>
        </w:numPr>
        <w:rPr>
          <w:i/>
        </w:rPr>
      </w:pPr>
      <w:r w:rsidRPr="00050AF6">
        <w:rPr>
          <w:i/>
        </w:rPr>
        <w:t>The site size, dimensions, location, topography and access are adequate for the needs of the proposed use, considering the proposed building mass, parking, traffic, noise, vibration, exhaust/emissions, light glare, erosion</w:t>
      </w:r>
      <w:r w:rsidR="001673A5" w:rsidRPr="00050AF6">
        <w:rPr>
          <w:i/>
        </w:rPr>
        <w:t>,</w:t>
      </w:r>
      <w:r w:rsidRPr="00050AF6">
        <w:rPr>
          <w:i/>
        </w:rPr>
        <w:t xml:space="preserve"> odor, dust, visibility, safety, and aesthetic considerations.</w:t>
      </w:r>
    </w:p>
    <w:p w14:paraId="11FD1C7B" w14:textId="77777777" w:rsidR="00CA363C" w:rsidRPr="00A00894" w:rsidRDefault="00CA363C" w:rsidP="00CA363C"/>
    <w:p w14:paraId="1E5D4ECA" w14:textId="5ACC311B" w:rsidR="00B74B72" w:rsidRDefault="00484124" w:rsidP="00B06AA9">
      <w:pPr>
        <w:ind w:left="720"/>
      </w:pPr>
      <w:r w:rsidRPr="00700B2B">
        <w:rPr>
          <w:b/>
        </w:rPr>
        <w:t>Findings:</w:t>
      </w:r>
      <w:r w:rsidRPr="00A00894">
        <w:t xml:space="preserve">  </w:t>
      </w:r>
      <w:bookmarkStart w:id="2" w:name="OLE_LINK1"/>
      <w:bookmarkStart w:id="3" w:name="OLE_LINK2"/>
      <w:r w:rsidR="00700B2B">
        <w:t xml:space="preserve">The size of the property is .19 acres. The size, dimensions, location, topography and access are adequate for the proposed use. </w:t>
      </w:r>
    </w:p>
    <w:p w14:paraId="6684B531" w14:textId="77777777" w:rsidR="00B74B72" w:rsidRDefault="00B74B72" w:rsidP="00B06AA9">
      <w:pPr>
        <w:ind w:left="720"/>
      </w:pPr>
    </w:p>
    <w:p w14:paraId="363A4D1C" w14:textId="35411F5F" w:rsidR="00CA363C" w:rsidRPr="00A00894" w:rsidRDefault="00564442" w:rsidP="00B06AA9">
      <w:pPr>
        <w:ind w:left="720"/>
      </w:pPr>
      <w:r>
        <w:pict w14:anchorId="26239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69pt">
            <v:imagedata r:id="rId10" o:title="Weaver Map"/>
          </v:shape>
        </w:pict>
      </w:r>
    </w:p>
    <w:bookmarkEnd w:id="2"/>
    <w:bookmarkEnd w:id="3"/>
    <w:p w14:paraId="75AD0E60" w14:textId="77777777" w:rsidR="00050AF6" w:rsidRDefault="00050AF6" w:rsidP="00050AF6"/>
    <w:p w14:paraId="0B0D6599" w14:textId="77777777" w:rsidR="00CA363C" w:rsidRPr="00050AF6" w:rsidRDefault="00CA363C" w:rsidP="00050AF6">
      <w:pPr>
        <w:pStyle w:val="ListParagraph"/>
        <w:numPr>
          <w:ilvl w:val="1"/>
          <w:numId w:val="21"/>
        </w:numPr>
        <w:rPr>
          <w:i/>
        </w:rPr>
      </w:pPr>
      <w:r w:rsidRPr="00050AF6">
        <w:rPr>
          <w:i/>
        </w:rPr>
        <w:t>The negative impacts of the proposed use on adjacent properties and on the</w:t>
      </w:r>
      <w:r w:rsidR="008C56AB" w:rsidRPr="00050AF6">
        <w:rPr>
          <w:i/>
        </w:rPr>
        <w:t xml:space="preserve"> public can be </w:t>
      </w:r>
      <w:r w:rsidRPr="00050AF6">
        <w:rPr>
          <w:i/>
        </w:rPr>
        <w:t>mitigated through application of other code standards, or other reasonable conditions of approval.</w:t>
      </w:r>
    </w:p>
    <w:p w14:paraId="1BFF67A4" w14:textId="77777777" w:rsidR="00CA363C" w:rsidRPr="00A00894" w:rsidRDefault="00CA363C" w:rsidP="00CA363C"/>
    <w:p w14:paraId="41A4DD28" w14:textId="0D586FC3" w:rsidR="00D93343" w:rsidRDefault="00484124" w:rsidP="00F33F25">
      <w:pPr>
        <w:ind w:left="720"/>
      </w:pPr>
      <w:r w:rsidRPr="00B74B72">
        <w:rPr>
          <w:b/>
        </w:rPr>
        <w:t>Findings</w:t>
      </w:r>
      <w:r w:rsidR="00034DE7" w:rsidRPr="00B74B72">
        <w:rPr>
          <w:b/>
        </w:rPr>
        <w:t>:</w:t>
      </w:r>
      <w:r w:rsidR="00034DE7">
        <w:rPr>
          <w:b/>
        </w:rPr>
        <w:t xml:space="preserve"> </w:t>
      </w:r>
      <w:r w:rsidR="00BE2164">
        <w:t xml:space="preserve"> </w:t>
      </w:r>
      <w:r w:rsidR="00B74B72">
        <w:t xml:space="preserve">Adjacent property owners were notified of the application, and no public comments were received concerning potential negative impacts of the proposal. Staff does not anticipate the 1’ 7” height will have negative impacts on adjacent properties. </w:t>
      </w:r>
    </w:p>
    <w:p w14:paraId="595599AC" w14:textId="43F543EF" w:rsidR="00D93343" w:rsidRDefault="00D93343" w:rsidP="00F33F25">
      <w:pPr>
        <w:ind w:left="720"/>
      </w:pPr>
    </w:p>
    <w:p w14:paraId="667CC84A" w14:textId="77777777" w:rsidR="00CA363C" w:rsidRPr="00050AF6" w:rsidRDefault="008C56AB" w:rsidP="00050AF6">
      <w:pPr>
        <w:pStyle w:val="ListParagraph"/>
        <w:numPr>
          <w:ilvl w:val="1"/>
          <w:numId w:val="21"/>
        </w:numPr>
        <w:rPr>
          <w:i/>
        </w:rPr>
      </w:pPr>
      <w:r w:rsidRPr="00050AF6">
        <w:rPr>
          <w:i/>
        </w:rPr>
        <w:t xml:space="preserve"> A</w:t>
      </w:r>
      <w:r w:rsidR="00CA363C" w:rsidRPr="00050AF6">
        <w:rPr>
          <w:i/>
        </w:rPr>
        <w:t>ll required public facilities have adequate capacity or are to be improved to serve the proposal, consistent with City standards.</w:t>
      </w:r>
    </w:p>
    <w:p w14:paraId="5C1CA037" w14:textId="77777777" w:rsidR="00CA363C" w:rsidRPr="00A00894" w:rsidRDefault="00CA363C" w:rsidP="00CA363C"/>
    <w:p w14:paraId="513B35F2" w14:textId="240AA5C9" w:rsidR="0009453C" w:rsidRPr="00B74B72" w:rsidRDefault="00484124" w:rsidP="0009453C">
      <w:pPr>
        <w:ind w:left="720"/>
      </w:pPr>
      <w:r w:rsidRPr="00B74B72">
        <w:rPr>
          <w:b/>
        </w:rPr>
        <w:t>Findings:</w:t>
      </w:r>
      <w:r w:rsidR="00B74B72">
        <w:rPr>
          <w:b/>
        </w:rPr>
        <w:t xml:space="preserve"> </w:t>
      </w:r>
      <w:r w:rsidR="00B74B72">
        <w:t xml:space="preserve">The proposal does not include public utility hookups, and the conditional use will not impact the current use or capacity of public facilities. </w:t>
      </w:r>
    </w:p>
    <w:p w14:paraId="67916831" w14:textId="77777777" w:rsidR="00CA363C" w:rsidRPr="00A00894" w:rsidRDefault="00CA363C" w:rsidP="00CA363C"/>
    <w:p w14:paraId="5057137D" w14:textId="77777777" w:rsidR="00CA363C" w:rsidRPr="00050AF6" w:rsidRDefault="00CA363C" w:rsidP="00050AF6">
      <w:pPr>
        <w:pStyle w:val="ListParagraph"/>
        <w:numPr>
          <w:ilvl w:val="1"/>
          <w:numId w:val="21"/>
        </w:numPr>
        <w:rPr>
          <w:i/>
        </w:rPr>
      </w:pPr>
      <w:r w:rsidRPr="00050AF6">
        <w:rPr>
          <w:i/>
        </w:rPr>
        <w:t xml:space="preserve">A conditional use permit shall not allow a use that is prohibited or not </w:t>
      </w:r>
      <w:r w:rsidR="008C56AB" w:rsidRPr="00050AF6">
        <w:rPr>
          <w:i/>
        </w:rPr>
        <w:t xml:space="preserve">expressly allowed </w:t>
      </w:r>
      <w:r w:rsidRPr="00050AF6">
        <w:rPr>
          <w:i/>
        </w:rPr>
        <w:t>under Article 5-2; nor shall a conditional use permit grant a variance without a variance application being reviewed with the conditional use application.</w:t>
      </w:r>
    </w:p>
    <w:p w14:paraId="37938DA2" w14:textId="77777777" w:rsidR="00CA363C" w:rsidRPr="00A00894" w:rsidRDefault="00CA363C" w:rsidP="00CA363C">
      <w:pPr>
        <w:ind w:left="60"/>
      </w:pPr>
    </w:p>
    <w:p w14:paraId="32AD56EB" w14:textId="3BDC4E32" w:rsidR="00CA363C" w:rsidRPr="00B74B72" w:rsidRDefault="00484124" w:rsidP="00D45AD4">
      <w:pPr>
        <w:ind w:left="720"/>
      </w:pPr>
      <w:r w:rsidRPr="00B74B72">
        <w:rPr>
          <w:b/>
        </w:rPr>
        <w:t>Findings:</w:t>
      </w:r>
      <w:r w:rsidRPr="00A00894">
        <w:rPr>
          <w:b/>
        </w:rPr>
        <w:t xml:space="preserve"> </w:t>
      </w:r>
      <w:r w:rsidR="00B74B72">
        <w:t xml:space="preserve">The proposed structure is consistent with Article 5-2. </w:t>
      </w:r>
    </w:p>
    <w:p w14:paraId="3EEC51C2" w14:textId="77777777" w:rsidR="00CA363C" w:rsidRPr="00A00894" w:rsidRDefault="00CA363C" w:rsidP="00CA363C"/>
    <w:p w14:paraId="0B0957E5" w14:textId="77777777" w:rsidR="00CA363C" w:rsidRPr="00A00894" w:rsidRDefault="008C56AB" w:rsidP="00CA363C">
      <w:pPr>
        <w:rPr>
          <w:i/>
        </w:rPr>
      </w:pPr>
      <w:r w:rsidRPr="00A00894">
        <w:rPr>
          <w:i/>
        </w:rPr>
        <w:t xml:space="preserve">B. </w:t>
      </w:r>
      <w:r w:rsidR="001673A5" w:rsidRPr="00A00894">
        <w:rPr>
          <w:i/>
        </w:rPr>
        <w:t xml:space="preserve">Site Design Standards. </w:t>
      </w:r>
      <w:r w:rsidR="00484124" w:rsidRPr="00A00894">
        <w:rPr>
          <w:i/>
        </w:rPr>
        <w:t>The Site Design Review approval criteria (Section 5-4.2.060</w:t>
      </w:r>
      <w:r w:rsidR="001673A5" w:rsidRPr="00A00894">
        <w:rPr>
          <w:i/>
        </w:rPr>
        <w:t xml:space="preserve">) shall be met. </w:t>
      </w:r>
      <w:r w:rsidR="008846CE" w:rsidRPr="00A00894">
        <w:rPr>
          <w:i/>
        </w:rPr>
        <w:t xml:space="preserve">The Planning Official may waive the application </w:t>
      </w:r>
      <w:r w:rsidR="002E1FA3" w:rsidRPr="00A00894">
        <w:rPr>
          <w:i/>
        </w:rPr>
        <w:t>requirements for the Site Design Review upon determining that the Conditional Use Permit application provides sufficient information to evaluate the proposal.</w:t>
      </w:r>
    </w:p>
    <w:p w14:paraId="007DAC8F" w14:textId="77777777" w:rsidR="002E1FA3" w:rsidRPr="00A00894" w:rsidRDefault="002E1FA3" w:rsidP="00CA363C">
      <w:pPr>
        <w:rPr>
          <w:b/>
          <w:i/>
        </w:rPr>
      </w:pPr>
    </w:p>
    <w:p w14:paraId="70519E8C" w14:textId="1B747D66" w:rsidR="002E1FA3" w:rsidRPr="00B74B72" w:rsidRDefault="002E1FA3" w:rsidP="00234A5A">
      <w:pPr>
        <w:ind w:left="720"/>
      </w:pPr>
      <w:r w:rsidRPr="00B74B72">
        <w:rPr>
          <w:b/>
        </w:rPr>
        <w:t>Findings:</w:t>
      </w:r>
      <w:r w:rsidRPr="00034DE7">
        <w:rPr>
          <w:b/>
        </w:rPr>
        <w:t xml:space="preserve">  </w:t>
      </w:r>
      <w:r w:rsidR="00B74B72">
        <w:t xml:space="preserve">The CUP application provides sufficient information to evaluate the proposal. </w:t>
      </w:r>
    </w:p>
    <w:p w14:paraId="063C4E56" w14:textId="77777777" w:rsidR="002E1FA3" w:rsidRPr="00A00894" w:rsidRDefault="002E1FA3" w:rsidP="00CA363C"/>
    <w:p w14:paraId="5295E06E" w14:textId="77777777" w:rsidR="002E1FA3" w:rsidRPr="00A00894" w:rsidRDefault="008C56AB" w:rsidP="00CA363C">
      <w:pPr>
        <w:rPr>
          <w:i/>
        </w:rPr>
      </w:pPr>
      <w:r w:rsidRPr="00A00894">
        <w:rPr>
          <w:i/>
        </w:rPr>
        <w:t xml:space="preserve">C. </w:t>
      </w:r>
      <w:r w:rsidR="002E1FA3" w:rsidRPr="00A00894">
        <w:rPr>
          <w:i/>
        </w:rPr>
        <w:t>Conditions of Approval. The City may impose conditions that are found necessary to ensure that the uses is compatible with other uses in the vicinity, and that the negative impact of the proposed use on the surrounding uses and public facilities is minimized.  These conditions include, but are not limited to, the following:</w:t>
      </w:r>
    </w:p>
    <w:p w14:paraId="5ACFB5B9" w14:textId="77777777" w:rsidR="00CA363C" w:rsidRPr="00A00894" w:rsidRDefault="00CA363C" w:rsidP="00CA363C">
      <w:pPr>
        <w:ind w:left="60"/>
      </w:pPr>
    </w:p>
    <w:p w14:paraId="0BD299F8" w14:textId="001653FC" w:rsidR="00686C95" w:rsidRPr="00686C95" w:rsidRDefault="00BA257E" w:rsidP="00686C95">
      <w:pPr>
        <w:numPr>
          <w:ilvl w:val="0"/>
          <w:numId w:val="17"/>
        </w:numPr>
        <w:rPr>
          <w:i/>
        </w:rPr>
      </w:pPr>
      <w:r w:rsidRPr="00A00894">
        <w:rPr>
          <w:i/>
        </w:rPr>
        <w:t>Limiting the hours, days, place and/or manner of operation;</w:t>
      </w:r>
    </w:p>
    <w:p w14:paraId="4B8328E4" w14:textId="77777777" w:rsidR="00686C95" w:rsidRDefault="00686C95" w:rsidP="00686C95">
      <w:pPr>
        <w:rPr>
          <w:b/>
        </w:rPr>
      </w:pPr>
    </w:p>
    <w:p w14:paraId="44CF3059" w14:textId="11D24A90" w:rsidR="00686C95" w:rsidRPr="00686C95" w:rsidRDefault="00686C95" w:rsidP="00686C95">
      <w:pPr>
        <w:rPr>
          <w:b/>
          <w:i/>
        </w:rPr>
      </w:pPr>
      <w:r w:rsidRPr="00686C95">
        <w:rPr>
          <w:b/>
        </w:rPr>
        <w:t>Finding:</w:t>
      </w:r>
      <w:r>
        <w:rPr>
          <w:b/>
          <w:i/>
        </w:rPr>
        <w:t xml:space="preserve"> </w:t>
      </w:r>
      <w:r w:rsidRPr="00686C95">
        <w:t xml:space="preserve">Not applicable </w:t>
      </w:r>
    </w:p>
    <w:p w14:paraId="18809065" w14:textId="77777777" w:rsidR="00433EDC" w:rsidRPr="00433EDC" w:rsidRDefault="00433EDC" w:rsidP="00433EDC">
      <w:pPr>
        <w:ind w:left="720"/>
      </w:pPr>
    </w:p>
    <w:p w14:paraId="7929CE90" w14:textId="38BE7B5E" w:rsidR="00433EDC" w:rsidRDefault="00E3036D" w:rsidP="000778A2">
      <w:pPr>
        <w:numPr>
          <w:ilvl w:val="0"/>
          <w:numId w:val="17"/>
        </w:numPr>
        <w:rPr>
          <w:i/>
        </w:rPr>
      </w:pPr>
      <w:r w:rsidRPr="00A00894">
        <w:rPr>
          <w:i/>
        </w:rPr>
        <w:t>Requiring site or architectural design features which minimize environmental impacts such as noise, vibration, exhaust/emissions, light, glare, erosion, odor and/or dust;</w:t>
      </w:r>
    </w:p>
    <w:p w14:paraId="653824D3" w14:textId="77777777" w:rsidR="00686C95" w:rsidRDefault="00686C95" w:rsidP="00686C95">
      <w:pPr>
        <w:rPr>
          <w:b/>
        </w:rPr>
      </w:pPr>
    </w:p>
    <w:p w14:paraId="7E8FA248" w14:textId="2B35604A" w:rsidR="00686C95" w:rsidRPr="00686C95" w:rsidRDefault="00686C95" w:rsidP="00686C95">
      <w:r w:rsidRPr="00686C95">
        <w:rPr>
          <w:b/>
        </w:rPr>
        <w:t xml:space="preserve">Finding: </w:t>
      </w:r>
      <w:r w:rsidRPr="00686C95">
        <w:t>Not required unless</w:t>
      </w:r>
      <w:r>
        <w:t xml:space="preserve"> it is </w:t>
      </w:r>
      <w:r w:rsidRPr="00686C95">
        <w:t xml:space="preserve">recommended by the commission. </w:t>
      </w:r>
    </w:p>
    <w:p w14:paraId="72286C37" w14:textId="77777777" w:rsidR="00686C95" w:rsidRPr="000778A2" w:rsidRDefault="00686C95" w:rsidP="00686C95">
      <w:pPr>
        <w:rPr>
          <w:i/>
        </w:rPr>
      </w:pPr>
    </w:p>
    <w:p w14:paraId="70F01570" w14:textId="68E6C2C6" w:rsidR="00234A5A" w:rsidRDefault="00E3036D" w:rsidP="001371CC">
      <w:pPr>
        <w:numPr>
          <w:ilvl w:val="0"/>
          <w:numId w:val="17"/>
        </w:numPr>
        <w:rPr>
          <w:i/>
        </w:rPr>
      </w:pPr>
      <w:r w:rsidRPr="00A00894">
        <w:rPr>
          <w:i/>
        </w:rPr>
        <w:t>Requiring large setback areas, lot area, and/or lot depth or width;</w:t>
      </w:r>
    </w:p>
    <w:p w14:paraId="77CB1B30" w14:textId="51B2220E" w:rsidR="00686C95" w:rsidRDefault="00686C95" w:rsidP="00686C95">
      <w:pPr>
        <w:rPr>
          <w:i/>
        </w:rPr>
      </w:pPr>
    </w:p>
    <w:p w14:paraId="39D14522" w14:textId="0C70A3A4" w:rsidR="00686C95" w:rsidRPr="00686C95" w:rsidRDefault="00686C95" w:rsidP="00686C95">
      <w:r w:rsidRPr="00686C95">
        <w:rPr>
          <w:b/>
        </w:rPr>
        <w:t xml:space="preserve">Finding: </w:t>
      </w:r>
      <w:r w:rsidRPr="00686C95">
        <w:t>Not required unless</w:t>
      </w:r>
      <w:r>
        <w:t xml:space="preserve"> it is </w:t>
      </w:r>
      <w:r w:rsidRPr="00686C95">
        <w:t xml:space="preserve">recommended by the commission. </w:t>
      </w:r>
    </w:p>
    <w:p w14:paraId="2AA66E87" w14:textId="77777777" w:rsidR="00433EDC" w:rsidRPr="00433EDC" w:rsidRDefault="00433EDC" w:rsidP="00433EDC">
      <w:pPr>
        <w:ind w:left="720"/>
      </w:pPr>
    </w:p>
    <w:p w14:paraId="6BF122FF" w14:textId="443D5A1B" w:rsidR="00E3036D" w:rsidRDefault="00E3036D" w:rsidP="00433EDC">
      <w:pPr>
        <w:numPr>
          <w:ilvl w:val="0"/>
          <w:numId w:val="17"/>
        </w:numPr>
        <w:rPr>
          <w:i/>
        </w:rPr>
      </w:pPr>
      <w:r w:rsidRPr="00A00894">
        <w:rPr>
          <w:i/>
        </w:rPr>
        <w:t>Limiting the building or structure height, size, lot coverage, and/or location on the site;</w:t>
      </w:r>
    </w:p>
    <w:p w14:paraId="00B6A1C4" w14:textId="75231A03" w:rsidR="00686C95" w:rsidRDefault="00686C95" w:rsidP="00686C95">
      <w:pPr>
        <w:rPr>
          <w:i/>
        </w:rPr>
      </w:pPr>
    </w:p>
    <w:p w14:paraId="5EA9DB1A" w14:textId="564ED4EE" w:rsidR="00686C95" w:rsidRPr="00686C95" w:rsidRDefault="00686C95" w:rsidP="00686C95">
      <w:r w:rsidRPr="00686C95">
        <w:rPr>
          <w:b/>
        </w:rPr>
        <w:t xml:space="preserve">Finding: </w:t>
      </w:r>
      <w:r>
        <w:t xml:space="preserve">The size, lot coverage, and location of the structure is limited to what is proposed in the application. </w:t>
      </w:r>
    </w:p>
    <w:p w14:paraId="493F8607" w14:textId="77777777" w:rsidR="00433EDC" w:rsidRPr="00433EDC" w:rsidRDefault="00433EDC" w:rsidP="00433EDC">
      <w:pPr>
        <w:ind w:left="720"/>
      </w:pPr>
    </w:p>
    <w:p w14:paraId="2A72E237" w14:textId="34F0D130" w:rsidR="001A3697" w:rsidRDefault="00E3036D" w:rsidP="000778A2">
      <w:pPr>
        <w:numPr>
          <w:ilvl w:val="0"/>
          <w:numId w:val="17"/>
        </w:numPr>
        <w:rPr>
          <w:i/>
        </w:rPr>
      </w:pPr>
      <w:r w:rsidRPr="00A00894">
        <w:rPr>
          <w:i/>
        </w:rPr>
        <w:t>Designating the size, number, location and/or design of vehicle access points or parking and loading areas;</w:t>
      </w:r>
    </w:p>
    <w:p w14:paraId="35D81013" w14:textId="77777777" w:rsidR="00686C95" w:rsidRDefault="00686C95" w:rsidP="00686C95">
      <w:pPr>
        <w:rPr>
          <w:b/>
        </w:rPr>
      </w:pPr>
    </w:p>
    <w:p w14:paraId="479EEEDD" w14:textId="41D8D109" w:rsidR="00686C95" w:rsidRPr="00686C95" w:rsidRDefault="00686C95" w:rsidP="00686C95">
      <w:r w:rsidRPr="00686C95">
        <w:rPr>
          <w:b/>
        </w:rPr>
        <w:t xml:space="preserve">Finding: </w:t>
      </w:r>
      <w:r w:rsidRPr="00686C95">
        <w:t>Not required unless</w:t>
      </w:r>
      <w:r>
        <w:t xml:space="preserve"> it is </w:t>
      </w:r>
      <w:r w:rsidRPr="00686C95">
        <w:t xml:space="preserve">recommended by the commission. </w:t>
      </w:r>
    </w:p>
    <w:p w14:paraId="1595DC2E" w14:textId="77777777" w:rsidR="00686C95" w:rsidRPr="000778A2" w:rsidRDefault="00686C95" w:rsidP="00686C95">
      <w:pPr>
        <w:rPr>
          <w:i/>
        </w:rPr>
      </w:pPr>
    </w:p>
    <w:p w14:paraId="145D26E2" w14:textId="77777777" w:rsidR="005E2010" w:rsidRPr="00A00894" w:rsidRDefault="005E2010" w:rsidP="005E2010">
      <w:pPr>
        <w:ind w:left="720"/>
      </w:pPr>
    </w:p>
    <w:p w14:paraId="54A969D7" w14:textId="250D3488" w:rsidR="005E2010" w:rsidRDefault="005E2010" w:rsidP="005E2010">
      <w:pPr>
        <w:numPr>
          <w:ilvl w:val="0"/>
          <w:numId w:val="17"/>
        </w:numPr>
        <w:rPr>
          <w:i/>
        </w:rPr>
      </w:pPr>
      <w:r w:rsidRPr="00A00894">
        <w:rPr>
          <w:i/>
        </w:rPr>
        <w:lastRenderedPageBreak/>
        <w:t>Requiring street right-of-way to be dedicated and street(s), sidewalks, curbs, planting strips, pathways, or trails to be improved.</w:t>
      </w:r>
    </w:p>
    <w:p w14:paraId="30447EA3" w14:textId="77777777" w:rsidR="00686C95" w:rsidRDefault="00686C95" w:rsidP="00686C95">
      <w:pPr>
        <w:rPr>
          <w:b/>
        </w:rPr>
      </w:pPr>
    </w:p>
    <w:p w14:paraId="06A5016D" w14:textId="54A04E70" w:rsidR="00686C95" w:rsidRPr="00686C95" w:rsidRDefault="00686C95" w:rsidP="00686C95">
      <w:r w:rsidRPr="00686C95">
        <w:rPr>
          <w:b/>
        </w:rPr>
        <w:t xml:space="preserve">Finding: </w:t>
      </w:r>
      <w:r w:rsidRPr="00686C95">
        <w:t xml:space="preserve">Not </w:t>
      </w:r>
      <w:r>
        <w:t xml:space="preserve">applicable. </w:t>
      </w:r>
    </w:p>
    <w:p w14:paraId="4AFAA546" w14:textId="77777777" w:rsidR="00A8243C" w:rsidRPr="00A00894" w:rsidRDefault="00A8243C" w:rsidP="005E2010">
      <w:pPr>
        <w:ind w:left="1350" w:hanging="630"/>
      </w:pPr>
    </w:p>
    <w:p w14:paraId="0CA33B16" w14:textId="3D8955B9" w:rsidR="00A8243C" w:rsidRDefault="00A8243C" w:rsidP="00A8243C">
      <w:pPr>
        <w:numPr>
          <w:ilvl w:val="0"/>
          <w:numId w:val="17"/>
        </w:numPr>
        <w:rPr>
          <w:i/>
        </w:rPr>
      </w:pPr>
      <w:r w:rsidRPr="00A00894">
        <w:rPr>
          <w:i/>
        </w:rPr>
        <w:t>Requiring landscaping, screening, drainage, water quality facilities, and/or improvement of parking and loading areas;</w:t>
      </w:r>
    </w:p>
    <w:p w14:paraId="58AA7385" w14:textId="22196751" w:rsidR="00686C95" w:rsidRDefault="00686C95" w:rsidP="00686C95">
      <w:pPr>
        <w:rPr>
          <w:i/>
        </w:rPr>
      </w:pPr>
    </w:p>
    <w:p w14:paraId="439D64F8" w14:textId="5E6568F2" w:rsidR="00686C95" w:rsidRPr="00686C95" w:rsidRDefault="00686C95" w:rsidP="00686C95">
      <w:r w:rsidRPr="00686C95">
        <w:rPr>
          <w:b/>
        </w:rPr>
        <w:t xml:space="preserve">Finding: </w:t>
      </w:r>
      <w:r w:rsidRPr="00686C95">
        <w:t xml:space="preserve">Not </w:t>
      </w:r>
      <w:r>
        <w:t xml:space="preserve">applicable. </w:t>
      </w:r>
    </w:p>
    <w:p w14:paraId="2E3B6956" w14:textId="77777777" w:rsidR="00AB37D5" w:rsidRPr="00A00894" w:rsidRDefault="00AB37D5" w:rsidP="00A8243C">
      <w:pPr>
        <w:ind w:left="720"/>
      </w:pPr>
    </w:p>
    <w:p w14:paraId="3844E0F5" w14:textId="384F9F67" w:rsidR="00AB37D5" w:rsidRDefault="00AB37D5" w:rsidP="00AB37D5">
      <w:pPr>
        <w:numPr>
          <w:ilvl w:val="0"/>
          <w:numId w:val="17"/>
        </w:numPr>
        <w:rPr>
          <w:i/>
        </w:rPr>
      </w:pPr>
      <w:r w:rsidRPr="00A00894">
        <w:rPr>
          <w:i/>
        </w:rPr>
        <w:t xml:space="preserve">Limiting the number, size, location, height </w:t>
      </w:r>
      <w:r w:rsidR="00306EB0" w:rsidRPr="00A00894">
        <w:rPr>
          <w:i/>
        </w:rPr>
        <w:t>and/or lighting of signs;</w:t>
      </w:r>
    </w:p>
    <w:p w14:paraId="61A3000B" w14:textId="24EAF9FD" w:rsidR="00686C95" w:rsidRDefault="00686C95" w:rsidP="00686C95">
      <w:pPr>
        <w:rPr>
          <w:i/>
        </w:rPr>
      </w:pPr>
    </w:p>
    <w:p w14:paraId="6585214B" w14:textId="02F514B9" w:rsidR="00686C95" w:rsidRPr="00686C95" w:rsidRDefault="00686C95" w:rsidP="00686C95">
      <w:r w:rsidRPr="00686C95">
        <w:rPr>
          <w:b/>
        </w:rPr>
        <w:t xml:space="preserve">Finding: </w:t>
      </w:r>
      <w:r w:rsidRPr="00686C95">
        <w:t xml:space="preserve">Not </w:t>
      </w:r>
      <w:r>
        <w:t xml:space="preserve">applicable. </w:t>
      </w:r>
    </w:p>
    <w:p w14:paraId="61FC5AF8" w14:textId="77777777" w:rsidR="00CA4912" w:rsidRPr="00A00894" w:rsidRDefault="00CA4912" w:rsidP="00306EB0">
      <w:pPr>
        <w:ind w:left="720"/>
      </w:pPr>
    </w:p>
    <w:p w14:paraId="293AB662" w14:textId="03165D73" w:rsidR="00CA4912" w:rsidRDefault="00FE1988" w:rsidP="00CA4912">
      <w:pPr>
        <w:numPr>
          <w:ilvl w:val="0"/>
          <w:numId w:val="17"/>
        </w:numPr>
        <w:rPr>
          <w:i/>
        </w:rPr>
      </w:pPr>
      <w:r w:rsidRPr="00A00894">
        <w:rPr>
          <w:i/>
        </w:rPr>
        <w:t>Limiting or setting standards for the location, design, and /o</w:t>
      </w:r>
      <w:r w:rsidR="00FD3531" w:rsidRPr="00A00894">
        <w:rPr>
          <w:i/>
        </w:rPr>
        <w:t>r intensity of outdoor lighting;</w:t>
      </w:r>
    </w:p>
    <w:p w14:paraId="0C0BB14A" w14:textId="36EFCB4B" w:rsidR="00686C95" w:rsidRDefault="00686C95" w:rsidP="00686C95">
      <w:pPr>
        <w:rPr>
          <w:i/>
        </w:rPr>
      </w:pPr>
    </w:p>
    <w:p w14:paraId="2856BB56" w14:textId="2214973B" w:rsidR="00686C95" w:rsidRPr="00686C95" w:rsidRDefault="00686C95" w:rsidP="00686C95">
      <w:r w:rsidRPr="00686C95">
        <w:rPr>
          <w:b/>
        </w:rPr>
        <w:t xml:space="preserve">Finding: </w:t>
      </w:r>
      <w:r w:rsidRPr="00686C95">
        <w:t xml:space="preserve">Not </w:t>
      </w:r>
      <w:r>
        <w:t xml:space="preserve">applicable. </w:t>
      </w:r>
    </w:p>
    <w:p w14:paraId="3E3C627C" w14:textId="573DD8A1" w:rsidR="00FE1988" w:rsidRPr="00A00894" w:rsidRDefault="00FE1988" w:rsidP="00FE1988">
      <w:pPr>
        <w:ind w:left="720"/>
      </w:pPr>
    </w:p>
    <w:p w14:paraId="2D9B0C09" w14:textId="0DCD485E" w:rsidR="00FE1988" w:rsidRDefault="00FD3531" w:rsidP="00FE1988">
      <w:pPr>
        <w:numPr>
          <w:ilvl w:val="0"/>
          <w:numId w:val="17"/>
        </w:numPr>
        <w:rPr>
          <w:i/>
        </w:rPr>
      </w:pPr>
      <w:r w:rsidRPr="00A00894">
        <w:rPr>
          <w:i/>
        </w:rPr>
        <w:t>Requiring berms, screening or landscaping and the establishment of standard for their installation and maintenance;</w:t>
      </w:r>
    </w:p>
    <w:p w14:paraId="175DEE1B" w14:textId="424315C5" w:rsidR="00686C95" w:rsidRDefault="00686C95" w:rsidP="00686C95">
      <w:pPr>
        <w:rPr>
          <w:i/>
        </w:rPr>
      </w:pPr>
    </w:p>
    <w:p w14:paraId="22A6F039" w14:textId="423A36BF" w:rsidR="00686C95" w:rsidRPr="00686C95" w:rsidRDefault="00686C95" w:rsidP="00686C95">
      <w:r w:rsidRPr="00686C95">
        <w:rPr>
          <w:b/>
        </w:rPr>
        <w:t xml:space="preserve">Finding: </w:t>
      </w:r>
      <w:r w:rsidRPr="00686C95">
        <w:t xml:space="preserve">Not </w:t>
      </w:r>
      <w:r>
        <w:t xml:space="preserve">applicable. </w:t>
      </w:r>
    </w:p>
    <w:p w14:paraId="5AC3E88C" w14:textId="77777777" w:rsidR="00363497" w:rsidRPr="00A00894" w:rsidRDefault="00363497" w:rsidP="00FD3531">
      <w:pPr>
        <w:ind w:left="720"/>
      </w:pPr>
    </w:p>
    <w:p w14:paraId="4A85DCE7" w14:textId="367FC127" w:rsidR="00363497" w:rsidRDefault="00363497" w:rsidP="000778A2">
      <w:pPr>
        <w:numPr>
          <w:ilvl w:val="0"/>
          <w:numId w:val="17"/>
        </w:numPr>
        <w:rPr>
          <w:i/>
        </w:rPr>
      </w:pPr>
      <w:r w:rsidRPr="00A00894">
        <w:rPr>
          <w:i/>
        </w:rPr>
        <w:t>Requiring and designating the size, height, location and/or materials for fences;</w:t>
      </w:r>
    </w:p>
    <w:p w14:paraId="5E21B41B" w14:textId="70745AA5" w:rsidR="00686C95" w:rsidRDefault="00686C95" w:rsidP="00686C95">
      <w:pPr>
        <w:rPr>
          <w:i/>
        </w:rPr>
      </w:pPr>
    </w:p>
    <w:p w14:paraId="3AC66B05" w14:textId="7CACD75B" w:rsidR="00686C95" w:rsidRPr="00686C95" w:rsidRDefault="00686C95" w:rsidP="00686C95">
      <w:r w:rsidRPr="00686C95">
        <w:rPr>
          <w:b/>
        </w:rPr>
        <w:t xml:space="preserve">Finding: </w:t>
      </w:r>
      <w:r w:rsidRPr="00686C95">
        <w:t xml:space="preserve">Not </w:t>
      </w:r>
      <w:r>
        <w:t xml:space="preserve">applicable. </w:t>
      </w:r>
    </w:p>
    <w:p w14:paraId="0C7853E0" w14:textId="77777777" w:rsidR="00FD3531" w:rsidRPr="00A00894" w:rsidRDefault="00FD3531" w:rsidP="00FD3531">
      <w:pPr>
        <w:ind w:left="720"/>
      </w:pPr>
    </w:p>
    <w:p w14:paraId="7F367690" w14:textId="013D84A1" w:rsidR="00FD3531" w:rsidRDefault="00FB02BD" w:rsidP="00FD3531">
      <w:pPr>
        <w:numPr>
          <w:ilvl w:val="0"/>
          <w:numId w:val="17"/>
        </w:numPr>
        <w:rPr>
          <w:i/>
        </w:rPr>
      </w:pPr>
      <w:r w:rsidRPr="00A00894">
        <w:rPr>
          <w:i/>
        </w:rPr>
        <w:t>Requiring the protection and preservation of existing trees, soils, vegetation, watercourses, habitat areas, drainage areas, historic resources, cultural resources, and/or sensitive lands.</w:t>
      </w:r>
    </w:p>
    <w:p w14:paraId="3015CFE8" w14:textId="17772001" w:rsidR="00686C95" w:rsidRDefault="00686C95" w:rsidP="00686C95">
      <w:pPr>
        <w:rPr>
          <w:i/>
        </w:rPr>
      </w:pPr>
    </w:p>
    <w:p w14:paraId="50138A3F" w14:textId="113EF24D" w:rsidR="00686C95" w:rsidRPr="00686C95" w:rsidRDefault="00686C95" w:rsidP="00686C95">
      <w:r w:rsidRPr="00686C95">
        <w:rPr>
          <w:b/>
        </w:rPr>
        <w:t xml:space="preserve">Finding: </w:t>
      </w:r>
      <w:r w:rsidRPr="00686C95">
        <w:t xml:space="preserve">Not </w:t>
      </w:r>
      <w:r>
        <w:t xml:space="preserve">applicable. </w:t>
      </w:r>
    </w:p>
    <w:p w14:paraId="4AD153B9" w14:textId="77777777" w:rsidR="00A8243C" w:rsidRPr="00A00894" w:rsidRDefault="00A8243C" w:rsidP="00A8243C">
      <w:pPr>
        <w:ind w:left="720"/>
      </w:pPr>
    </w:p>
    <w:p w14:paraId="5B85C954" w14:textId="0C26F0AF" w:rsidR="005E2010" w:rsidRDefault="00BA30D7" w:rsidP="00BA30D7">
      <w:pPr>
        <w:numPr>
          <w:ilvl w:val="0"/>
          <w:numId w:val="17"/>
        </w:numPr>
        <w:rPr>
          <w:i/>
        </w:rPr>
      </w:pPr>
      <w:r w:rsidRPr="00A00894">
        <w:rPr>
          <w:i/>
        </w:rPr>
        <w:t>Requiring dedication of sufficient land to the public, and/or construction of pedestrian/bicycle pathways in accordance with adopted plans, or requiring the recording of a local improvement district non-remonstrance agreement for the same.  Dedication of land and construction shall conform to the provisions of Chapter 5-3.1, and Section 5-3.1.030 in particular;</w:t>
      </w:r>
    </w:p>
    <w:p w14:paraId="4CEC19D4" w14:textId="471BD3E2" w:rsidR="00686C95" w:rsidRDefault="00686C95" w:rsidP="00686C95">
      <w:pPr>
        <w:rPr>
          <w:i/>
        </w:rPr>
      </w:pPr>
    </w:p>
    <w:p w14:paraId="119C5128" w14:textId="5C00356A" w:rsidR="00686C95" w:rsidRPr="00686C95" w:rsidRDefault="00686C95" w:rsidP="00686C95">
      <w:r w:rsidRPr="00686C95">
        <w:rPr>
          <w:b/>
        </w:rPr>
        <w:t xml:space="preserve">Finding: </w:t>
      </w:r>
      <w:r w:rsidRPr="00686C95">
        <w:t xml:space="preserve">Not </w:t>
      </w:r>
      <w:r>
        <w:t xml:space="preserve">applicable. </w:t>
      </w:r>
    </w:p>
    <w:p w14:paraId="21D72733" w14:textId="77777777" w:rsidR="00363497" w:rsidRPr="00A00894" w:rsidRDefault="00363497" w:rsidP="00BA30D7">
      <w:pPr>
        <w:ind w:left="720"/>
      </w:pPr>
    </w:p>
    <w:p w14:paraId="62CFF0C7" w14:textId="112DC923" w:rsidR="00234A5A" w:rsidRDefault="00363497" w:rsidP="00A92D93">
      <w:pPr>
        <w:numPr>
          <w:ilvl w:val="0"/>
          <w:numId w:val="17"/>
        </w:numPr>
        <w:rPr>
          <w:i/>
        </w:rPr>
      </w:pPr>
      <w:r w:rsidRPr="00A00894">
        <w:rPr>
          <w:i/>
        </w:rPr>
        <w:t>Establish a time table for periodic review and renewal, or expiration, of the conditional use to ensure compliance with conditions of approval; such review may be subject to approval by the Planning Official or Planning Com</w:t>
      </w:r>
      <w:r w:rsidR="00433EDC">
        <w:rPr>
          <w:i/>
        </w:rPr>
        <w:t xml:space="preserve">mission through a Type II </w:t>
      </w:r>
      <w:r w:rsidRPr="00433EDC">
        <w:rPr>
          <w:i/>
        </w:rPr>
        <w:t>Administrative Review or Type III Quasi-Judicial process at the discretion of the decision making body.</w:t>
      </w:r>
    </w:p>
    <w:p w14:paraId="24332B59" w14:textId="77777777" w:rsidR="00686C95" w:rsidRDefault="00686C95" w:rsidP="00686C95">
      <w:pPr>
        <w:rPr>
          <w:b/>
        </w:rPr>
      </w:pPr>
    </w:p>
    <w:p w14:paraId="248A067A" w14:textId="7446E68C" w:rsidR="00686C95" w:rsidRPr="00686C95" w:rsidRDefault="00686C95" w:rsidP="00686C95">
      <w:r>
        <w:rPr>
          <w:b/>
        </w:rPr>
        <w:t xml:space="preserve">Finding: </w:t>
      </w:r>
      <w:r>
        <w:t xml:space="preserve">The City reserves the right to review the conditional use permit ass needed in order to ensure compliance with conditions of approval. </w:t>
      </w:r>
    </w:p>
    <w:p w14:paraId="79D2A768" w14:textId="77777777" w:rsidR="00337E6A" w:rsidRPr="00A00894" w:rsidRDefault="00337E6A" w:rsidP="00BA30D7">
      <w:pPr>
        <w:ind w:left="720"/>
      </w:pPr>
    </w:p>
    <w:p w14:paraId="76857F53" w14:textId="0DC11180" w:rsidR="00F03B0C" w:rsidRDefault="00A60FAA" w:rsidP="00A92D93">
      <w:pPr>
        <w:numPr>
          <w:ilvl w:val="0"/>
          <w:numId w:val="17"/>
        </w:numPr>
        <w:rPr>
          <w:i/>
        </w:rPr>
      </w:pPr>
      <w:r w:rsidRPr="00A00894">
        <w:rPr>
          <w:i/>
        </w:rPr>
        <w:t>Other Conditions of Approval</w:t>
      </w:r>
    </w:p>
    <w:p w14:paraId="42C9186B" w14:textId="4AFAE42D" w:rsidR="00686C95" w:rsidRDefault="00686C95" w:rsidP="00686C95">
      <w:pPr>
        <w:rPr>
          <w:i/>
        </w:rPr>
      </w:pPr>
    </w:p>
    <w:p w14:paraId="161064B2" w14:textId="5630ED3C" w:rsidR="00686C95" w:rsidRPr="00686C95" w:rsidRDefault="00686C95" w:rsidP="00686C95">
      <w:r w:rsidRPr="00686C95">
        <w:rPr>
          <w:b/>
        </w:rPr>
        <w:t xml:space="preserve">Finding: </w:t>
      </w:r>
      <w:r w:rsidRPr="00686C95">
        <w:t>Not required unless</w:t>
      </w:r>
      <w:r>
        <w:t xml:space="preserve"> it is </w:t>
      </w:r>
      <w:r w:rsidRPr="00686C95">
        <w:t xml:space="preserve">recommended by the commission. </w:t>
      </w:r>
    </w:p>
    <w:p w14:paraId="7A7284E4" w14:textId="67A994EE" w:rsidR="00A77406" w:rsidRPr="00A00894" w:rsidRDefault="00A77406" w:rsidP="00F03B0C">
      <w:pPr>
        <w:ind w:left="720"/>
      </w:pPr>
    </w:p>
    <w:p w14:paraId="166114D8" w14:textId="77777777" w:rsidR="006C196D" w:rsidRDefault="006C196D" w:rsidP="00A77406"/>
    <w:p w14:paraId="2569593E" w14:textId="77777777" w:rsidR="00A6261E" w:rsidRPr="006C196D" w:rsidRDefault="00A6261E" w:rsidP="006C196D">
      <w:pPr>
        <w:pStyle w:val="ListParagraph"/>
        <w:numPr>
          <w:ilvl w:val="0"/>
          <w:numId w:val="19"/>
        </w:numPr>
        <w:rPr>
          <w:b/>
        </w:rPr>
      </w:pPr>
      <w:r w:rsidRPr="006C196D">
        <w:rPr>
          <w:b/>
        </w:rPr>
        <w:t>PLANNING COMMISSION MOTION</w:t>
      </w:r>
    </w:p>
    <w:p w14:paraId="559170E5" w14:textId="77777777" w:rsidR="00A6261E" w:rsidRPr="00A00894" w:rsidRDefault="00A6261E" w:rsidP="00A77406">
      <w:pPr>
        <w:rPr>
          <w:b/>
          <w:u w:val="single"/>
        </w:rPr>
      </w:pPr>
    </w:p>
    <w:p w14:paraId="47A4E512" w14:textId="77777777" w:rsidR="00A6261E" w:rsidRPr="00A00894" w:rsidRDefault="00A6261E" w:rsidP="00A77406">
      <w:r w:rsidRPr="00A00894">
        <w:t>After hearing the applicant’s presentation and any public testimony, the Planning Commission must allow the applicant an opportunity to rebut any opposing testimony.  Then the Commission will close the hearing and deliberate.  The following motion is suggested:</w:t>
      </w:r>
    </w:p>
    <w:p w14:paraId="1BF4C240" w14:textId="77777777" w:rsidR="00A6261E" w:rsidRPr="00A00894" w:rsidRDefault="00A6261E" w:rsidP="00A77406"/>
    <w:p w14:paraId="17CCDB82" w14:textId="16B33F25" w:rsidR="00A6261E" w:rsidRPr="00A00894" w:rsidRDefault="00A6261E" w:rsidP="00A77406">
      <w:pPr>
        <w:rPr>
          <w:u w:val="single"/>
        </w:rPr>
      </w:pPr>
      <w:r w:rsidRPr="00A00894">
        <w:rPr>
          <w:u w:val="single"/>
        </w:rPr>
        <w:t xml:space="preserve">“I move to approve the Conditional Use Application </w:t>
      </w:r>
      <w:r w:rsidR="00686C95">
        <w:rPr>
          <w:u w:val="single"/>
        </w:rPr>
        <w:t>CUP-21-02</w:t>
      </w:r>
      <w:r w:rsidRPr="00A00894">
        <w:rPr>
          <w:u w:val="single"/>
        </w:rPr>
        <w:t xml:space="preserve"> based on the findings and subject to the conditions of approval contained in the staff report.”</w:t>
      </w:r>
    </w:p>
    <w:p w14:paraId="290DBDEE" w14:textId="77777777" w:rsidR="00A6261E" w:rsidRPr="00A00894" w:rsidRDefault="00A6261E" w:rsidP="00A77406">
      <w:pPr>
        <w:rPr>
          <w:u w:val="single"/>
        </w:rPr>
      </w:pPr>
    </w:p>
    <w:p w14:paraId="0F3C13AE" w14:textId="77777777" w:rsidR="00A6261E" w:rsidRPr="00A00894" w:rsidRDefault="00A6261E" w:rsidP="00A77406">
      <w:pPr>
        <w:rPr>
          <w:i/>
        </w:rPr>
      </w:pPr>
      <w:r w:rsidRPr="00A00894">
        <w:rPr>
          <w:i/>
        </w:rPr>
        <w:t xml:space="preserve">The staff report may be amended during the course of the hearing.  </w:t>
      </w:r>
    </w:p>
    <w:p w14:paraId="0ECBA0E1" w14:textId="77777777" w:rsidR="00A6261E" w:rsidRPr="00A00894" w:rsidRDefault="00A6261E" w:rsidP="00A77406">
      <w:pPr>
        <w:rPr>
          <w:i/>
        </w:rPr>
      </w:pPr>
    </w:p>
    <w:p w14:paraId="72CCF0A6" w14:textId="19F35CC7" w:rsidR="00072526" w:rsidRDefault="00072526" w:rsidP="00A77406"/>
    <w:p w14:paraId="283AF644" w14:textId="77777777" w:rsidR="00072526" w:rsidRPr="00A00894" w:rsidRDefault="00072526" w:rsidP="00A77406"/>
    <w:p w14:paraId="72A5592E" w14:textId="77777777" w:rsidR="00564442" w:rsidRDefault="00A6261E" w:rsidP="00433EDC">
      <w:r w:rsidRPr="00A00894">
        <w:t>Attachments:</w:t>
      </w:r>
      <w:r w:rsidRPr="00A00894">
        <w:tab/>
      </w:r>
    </w:p>
    <w:p w14:paraId="6B7EDB0D" w14:textId="1B591E50" w:rsidR="00A416A3" w:rsidRDefault="003D2F88" w:rsidP="00564442">
      <w:pPr>
        <w:pStyle w:val="ListParagraph"/>
        <w:numPr>
          <w:ilvl w:val="0"/>
          <w:numId w:val="13"/>
        </w:numPr>
      </w:pPr>
      <w:r w:rsidRPr="00072526">
        <w:t>Application</w:t>
      </w:r>
      <w:r w:rsidR="00F03B0C" w:rsidRPr="00072526">
        <w:t xml:space="preserve"> (Exhibit A)</w:t>
      </w:r>
      <w:r w:rsidR="00A416A3">
        <w:t xml:space="preserve"> </w:t>
      </w:r>
    </w:p>
    <w:p w14:paraId="44EC9FC1" w14:textId="32D3FF00" w:rsidR="00564442" w:rsidRDefault="00564442" w:rsidP="00564442">
      <w:pPr>
        <w:pStyle w:val="ListParagraph"/>
        <w:numPr>
          <w:ilvl w:val="0"/>
          <w:numId w:val="13"/>
        </w:numPr>
      </w:pPr>
      <w:r>
        <w:t xml:space="preserve">Site Diagrams (Exhibit B) </w:t>
      </w:r>
    </w:p>
    <w:p w14:paraId="27A7F7CF" w14:textId="1BC86C34" w:rsidR="00243E2A" w:rsidRPr="00A00894" w:rsidRDefault="00243E2A" w:rsidP="00A416A3">
      <w:pPr>
        <w:ind w:left="720" w:firstLine="720"/>
      </w:pPr>
      <w:r>
        <w:t xml:space="preserve"> </w:t>
      </w:r>
    </w:p>
    <w:sectPr w:rsidR="00243E2A" w:rsidRPr="00A00894" w:rsidSect="00B06AA9">
      <w:footerReference w:type="default" r:id="rId11"/>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D6BAA" w14:textId="77777777" w:rsidR="0012490D" w:rsidRDefault="0012490D" w:rsidP="00153669">
      <w:r>
        <w:separator/>
      </w:r>
    </w:p>
  </w:endnote>
  <w:endnote w:type="continuationSeparator" w:id="0">
    <w:p w14:paraId="0CB888ED" w14:textId="77777777" w:rsidR="0012490D" w:rsidRDefault="0012490D" w:rsidP="0015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3CEF" w14:textId="4A5D5C3E" w:rsidR="00160C3F" w:rsidRPr="00B6128F" w:rsidRDefault="00E91CE9" w:rsidP="00E91CE9">
    <w:pPr>
      <w:tabs>
        <w:tab w:val="center" w:pos="4320"/>
        <w:tab w:val="right" w:pos="8640"/>
      </w:tabs>
      <w:rPr>
        <w:sz w:val="16"/>
        <w:szCs w:val="16"/>
      </w:rPr>
    </w:pPr>
    <w:r w:rsidRPr="00E91CE9">
      <w:rPr>
        <w:sz w:val="16"/>
        <w:szCs w:val="16"/>
      </w:rPr>
      <w:t xml:space="preserve">Page </w:t>
    </w:r>
    <w:r w:rsidRPr="00E91CE9">
      <w:rPr>
        <w:sz w:val="16"/>
        <w:szCs w:val="16"/>
      </w:rPr>
      <w:fldChar w:fldCharType="begin"/>
    </w:r>
    <w:r w:rsidRPr="00E91CE9">
      <w:rPr>
        <w:sz w:val="16"/>
        <w:szCs w:val="16"/>
      </w:rPr>
      <w:instrText xml:space="preserve"> PAGE </w:instrText>
    </w:r>
    <w:r w:rsidRPr="00E91CE9">
      <w:rPr>
        <w:sz w:val="16"/>
        <w:szCs w:val="16"/>
      </w:rPr>
      <w:fldChar w:fldCharType="separate"/>
    </w:r>
    <w:r w:rsidR="00564442">
      <w:rPr>
        <w:noProof/>
        <w:sz w:val="16"/>
        <w:szCs w:val="16"/>
      </w:rPr>
      <w:t>6</w:t>
    </w:r>
    <w:r w:rsidRPr="00E91CE9">
      <w:rPr>
        <w:sz w:val="16"/>
        <w:szCs w:val="16"/>
      </w:rPr>
      <w:fldChar w:fldCharType="end"/>
    </w:r>
    <w:r w:rsidRPr="00E91CE9">
      <w:rPr>
        <w:sz w:val="16"/>
        <w:szCs w:val="16"/>
      </w:rPr>
      <w:t xml:space="preserve"> of </w:t>
    </w:r>
    <w:r w:rsidRPr="00E91CE9">
      <w:rPr>
        <w:sz w:val="16"/>
        <w:szCs w:val="16"/>
      </w:rPr>
      <w:fldChar w:fldCharType="begin"/>
    </w:r>
    <w:r w:rsidRPr="00E91CE9">
      <w:rPr>
        <w:sz w:val="16"/>
        <w:szCs w:val="16"/>
      </w:rPr>
      <w:instrText xml:space="preserve"> NUMPAGES </w:instrText>
    </w:r>
    <w:r w:rsidRPr="00E91CE9">
      <w:rPr>
        <w:sz w:val="16"/>
        <w:szCs w:val="16"/>
      </w:rPr>
      <w:fldChar w:fldCharType="separate"/>
    </w:r>
    <w:r w:rsidR="00564442">
      <w:rPr>
        <w:noProof/>
        <w:sz w:val="16"/>
        <w:szCs w:val="16"/>
      </w:rPr>
      <w:t>6</w:t>
    </w:r>
    <w:r w:rsidRPr="00E91CE9">
      <w:rPr>
        <w:sz w:val="16"/>
        <w:szCs w:val="16"/>
      </w:rPr>
      <w:fldChar w:fldCharType="end"/>
    </w:r>
    <w:r w:rsidRPr="00E91CE9">
      <w:rPr>
        <w:sz w:val="16"/>
        <w:szCs w:val="16"/>
      </w:rPr>
      <w:t xml:space="preserve"> </w:t>
    </w:r>
    <w:r w:rsidR="00830DDB">
      <w:rPr>
        <w:sz w:val="16"/>
        <w:szCs w:val="16"/>
      </w:rPr>
      <w:t>Staff Report –</w:t>
    </w:r>
    <w:r w:rsidRPr="00E91CE9">
      <w:rPr>
        <w:sz w:val="16"/>
        <w:szCs w:val="16"/>
      </w:rPr>
      <w:t xml:space="preserve"> Conditional Use Permit</w:t>
    </w:r>
    <w:r w:rsidR="00AC1627">
      <w:rPr>
        <w:sz w:val="16"/>
        <w:szCs w:val="16"/>
      </w:rPr>
      <w:t xml:space="preserve"> </w:t>
    </w:r>
    <w:r w:rsidR="00B6128F">
      <w:rPr>
        <w:sz w:val="16"/>
        <w:szCs w:val="16"/>
      </w:rPr>
      <w:t>CUP-21-02</w:t>
    </w:r>
    <w:r w:rsidR="00034DE7" w:rsidRPr="00B6128F">
      <w:rPr>
        <w:sz w:val="16"/>
        <w:szCs w:val="16"/>
      </w:rPr>
      <w:t xml:space="preserve"> </w:t>
    </w:r>
    <w:r w:rsidR="00B6128F">
      <w:rPr>
        <w:sz w:val="16"/>
        <w:szCs w:val="16"/>
      </w:rPr>
      <w:t>for Cody Weaver</w:t>
    </w:r>
  </w:p>
  <w:p w14:paraId="52C98A25" w14:textId="77777777" w:rsidR="00A77406" w:rsidRDefault="00A774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A03C2" w14:textId="77777777" w:rsidR="0012490D" w:rsidRDefault="0012490D" w:rsidP="00153669">
      <w:r>
        <w:separator/>
      </w:r>
    </w:p>
  </w:footnote>
  <w:footnote w:type="continuationSeparator" w:id="0">
    <w:p w14:paraId="18465188" w14:textId="77777777" w:rsidR="0012490D" w:rsidRDefault="0012490D" w:rsidP="00153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376"/>
    <w:multiLevelType w:val="hybridMultilevel"/>
    <w:tmpl w:val="3FD2B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532B"/>
    <w:multiLevelType w:val="hybridMultilevel"/>
    <w:tmpl w:val="E57A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862AE"/>
    <w:multiLevelType w:val="hybridMultilevel"/>
    <w:tmpl w:val="7162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5460F"/>
    <w:multiLevelType w:val="hybridMultilevel"/>
    <w:tmpl w:val="FF72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Opti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Opti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Optim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7163"/>
    <w:multiLevelType w:val="hybridMultilevel"/>
    <w:tmpl w:val="49FEE31E"/>
    <w:lvl w:ilvl="0" w:tplc="0409000F">
      <w:start w:val="1"/>
      <w:numFmt w:val="decimal"/>
      <w:lvlText w:val="%1."/>
      <w:lvlJc w:val="left"/>
      <w:pPr>
        <w:ind w:left="360" w:hanging="360"/>
      </w:pPr>
      <w:rPr>
        <w:rFonts w:hint="default"/>
      </w:rPr>
    </w:lvl>
    <w:lvl w:ilvl="1" w:tplc="01509AE4">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047790"/>
    <w:multiLevelType w:val="hybridMultilevel"/>
    <w:tmpl w:val="B7561570"/>
    <w:lvl w:ilvl="0" w:tplc="4952671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1A1540"/>
    <w:multiLevelType w:val="hybridMultilevel"/>
    <w:tmpl w:val="CB44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D7E6E"/>
    <w:multiLevelType w:val="hybridMultilevel"/>
    <w:tmpl w:val="1060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8232B"/>
    <w:multiLevelType w:val="hybridMultilevel"/>
    <w:tmpl w:val="18829E36"/>
    <w:lvl w:ilvl="0" w:tplc="A2BEDD30">
      <w:start w:val="1"/>
      <w:numFmt w:val="none"/>
      <w:lvlText w:val="2."/>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C7402"/>
    <w:multiLevelType w:val="hybridMultilevel"/>
    <w:tmpl w:val="8F7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83022"/>
    <w:multiLevelType w:val="hybridMultilevel"/>
    <w:tmpl w:val="9866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545F7"/>
    <w:multiLevelType w:val="hybridMultilevel"/>
    <w:tmpl w:val="9854343A"/>
    <w:lvl w:ilvl="0" w:tplc="8CA86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74752B"/>
    <w:multiLevelType w:val="hybridMultilevel"/>
    <w:tmpl w:val="A5F08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7C0B6F"/>
    <w:multiLevelType w:val="hybridMultilevel"/>
    <w:tmpl w:val="92C4E266"/>
    <w:lvl w:ilvl="0" w:tplc="5F2CB4F4">
      <w:start w:val="4"/>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53440E39"/>
    <w:multiLevelType w:val="hybridMultilevel"/>
    <w:tmpl w:val="CB286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742E27"/>
    <w:multiLevelType w:val="hybridMultilevel"/>
    <w:tmpl w:val="A9EE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70463"/>
    <w:multiLevelType w:val="hybridMultilevel"/>
    <w:tmpl w:val="CB7848CA"/>
    <w:lvl w:ilvl="0" w:tplc="9B6631B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7E60CC"/>
    <w:multiLevelType w:val="hybridMultilevel"/>
    <w:tmpl w:val="645A6240"/>
    <w:lvl w:ilvl="0" w:tplc="0DFCC186">
      <w:start w:val="1"/>
      <w:numFmt w:val="none"/>
      <w:lvlText w:val="3."/>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BE09F6"/>
    <w:multiLevelType w:val="hybridMultilevel"/>
    <w:tmpl w:val="9D86BFCC"/>
    <w:lvl w:ilvl="0" w:tplc="7A50C7E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2B67AB"/>
    <w:multiLevelType w:val="hybridMultilevel"/>
    <w:tmpl w:val="AA0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03D02"/>
    <w:multiLevelType w:val="hybridMultilevel"/>
    <w:tmpl w:val="7EEED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3B1CAA"/>
    <w:multiLevelType w:val="hybridMultilevel"/>
    <w:tmpl w:val="9B2E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764"/>
    <w:multiLevelType w:val="hybridMultilevel"/>
    <w:tmpl w:val="962487BA"/>
    <w:lvl w:ilvl="0" w:tplc="A52AAA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8"/>
  </w:num>
  <w:num w:numId="3">
    <w:abstractNumId w:val="1"/>
  </w:num>
  <w:num w:numId="4">
    <w:abstractNumId w:val="11"/>
  </w:num>
  <w:num w:numId="5">
    <w:abstractNumId w:val="3"/>
  </w:num>
  <w:num w:numId="6">
    <w:abstractNumId w:val="9"/>
  </w:num>
  <w:num w:numId="7">
    <w:abstractNumId w:val="15"/>
  </w:num>
  <w:num w:numId="8">
    <w:abstractNumId w:val="19"/>
  </w:num>
  <w:num w:numId="9">
    <w:abstractNumId w:val="6"/>
  </w:num>
  <w:num w:numId="10">
    <w:abstractNumId w:val="7"/>
  </w:num>
  <w:num w:numId="11">
    <w:abstractNumId w:val="21"/>
  </w:num>
  <w:num w:numId="12">
    <w:abstractNumId w:val="10"/>
  </w:num>
  <w:num w:numId="13">
    <w:abstractNumId w:val="2"/>
  </w:num>
  <w:num w:numId="14">
    <w:abstractNumId w:val="8"/>
  </w:num>
  <w:num w:numId="15">
    <w:abstractNumId w:val="17"/>
  </w:num>
  <w:num w:numId="16">
    <w:abstractNumId w:val="13"/>
  </w:num>
  <w:num w:numId="17">
    <w:abstractNumId w:val="0"/>
  </w:num>
  <w:num w:numId="18">
    <w:abstractNumId w:val="20"/>
  </w:num>
  <w:num w:numId="19">
    <w:abstractNumId w:val="16"/>
  </w:num>
  <w:num w:numId="20">
    <w:abstractNumId w:val="5"/>
  </w:num>
  <w:num w:numId="21">
    <w:abstractNumId w:val="4"/>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0"/>
    <w:rsid w:val="00030A94"/>
    <w:rsid w:val="00034DE7"/>
    <w:rsid w:val="000469C2"/>
    <w:rsid w:val="000504E8"/>
    <w:rsid w:val="00050AF6"/>
    <w:rsid w:val="000566E4"/>
    <w:rsid w:val="0006085B"/>
    <w:rsid w:val="00072526"/>
    <w:rsid w:val="000778A2"/>
    <w:rsid w:val="000802CE"/>
    <w:rsid w:val="000932A3"/>
    <w:rsid w:val="0009453C"/>
    <w:rsid w:val="000E0D4E"/>
    <w:rsid w:val="001075E4"/>
    <w:rsid w:val="0011693C"/>
    <w:rsid w:val="0012490D"/>
    <w:rsid w:val="001273DA"/>
    <w:rsid w:val="001371CC"/>
    <w:rsid w:val="00147EFD"/>
    <w:rsid w:val="00153669"/>
    <w:rsid w:val="00160C3F"/>
    <w:rsid w:val="001673A5"/>
    <w:rsid w:val="0017357B"/>
    <w:rsid w:val="00174CCB"/>
    <w:rsid w:val="001A3697"/>
    <w:rsid w:val="001A4A29"/>
    <w:rsid w:val="001D4DDA"/>
    <w:rsid w:val="001D5B2C"/>
    <w:rsid w:val="001F0E0F"/>
    <w:rsid w:val="001F4053"/>
    <w:rsid w:val="002045C7"/>
    <w:rsid w:val="00210E4D"/>
    <w:rsid w:val="0022790D"/>
    <w:rsid w:val="0023380C"/>
    <w:rsid w:val="00234A5A"/>
    <w:rsid w:val="00243E2A"/>
    <w:rsid w:val="00267123"/>
    <w:rsid w:val="00271005"/>
    <w:rsid w:val="002763F3"/>
    <w:rsid w:val="00280AAC"/>
    <w:rsid w:val="002938DC"/>
    <w:rsid w:val="00295EC9"/>
    <w:rsid w:val="002B046D"/>
    <w:rsid w:val="002D368C"/>
    <w:rsid w:val="002D5010"/>
    <w:rsid w:val="002D6A32"/>
    <w:rsid w:val="002E0384"/>
    <w:rsid w:val="002E1FA3"/>
    <w:rsid w:val="002E7C9C"/>
    <w:rsid w:val="003044E5"/>
    <w:rsid w:val="00306EB0"/>
    <w:rsid w:val="003278EE"/>
    <w:rsid w:val="003349D0"/>
    <w:rsid w:val="00337E6A"/>
    <w:rsid w:val="0034761A"/>
    <w:rsid w:val="00353777"/>
    <w:rsid w:val="00362722"/>
    <w:rsid w:val="00363497"/>
    <w:rsid w:val="00374CD7"/>
    <w:rsid w:val="00382758"/>
    <w:rsid w:val="003A432E"/>
    <w:rsid w:val="003D2F88"/>
    <w:rsid w:val="00407BBF"/>
    <w:rsid w:val="00424995"/>
    <w:rsid w:val="00433EDC"/>
    <w:rsid w:val="00452178"/>
    <w:rsid w:val="00465A3D"/>
    <w:rsid w:val="00476FDC"/>
    <w:rsid w:val="00484124"/>
    <w:rsid w:val="004B1614"/>
    <w:rsid w:val="004D1C32"/>
    <w:rsid w:val="004D6584"/>
    <w:rsid w:val="004D6A6A"/>
    <w:rsid w:val="004E3CF4"/>
    <w:rsid w:val="004F67F7"/>
    <w:rsid w:val="005241E7"/>
    <w:rsid w:val="005326B9"/>
    <w:rsid w:val="00540B49"/>
    <w:rsid w:val="00543E17"/>
    <w:rsid w:val="00553568"/>
    <w:rsid w:val="0055546E"/>
    <w:rsid w:val="005577FF"/>
    <w:rsid w:val="00564442"/>
    <w:rsid w:val="005750F0"/>
    <w:rsid w:val="00575310"/>
    <w:rsid w:val="00584157"/>
    <w:rsid w:val="00594A8F"/>
    <w:rsid w:val="005B1963"/>
    <w:rsid w:val="005E1C42"/>
    <w:rsid w:val="005E1FEA"/>
    <w:rsid w:val="005E2010"/>
    <w:rsid w:val="005E234B"/>
    <w:rsid w:val="005E3426"/>
    <w:rsid w:val="006068C0"/>
    <w:rsid w:val="00610FCA"/>
    <w:rsid w:val="006119D0"/>
    <w:rsid w:val="00624224"/>
    <w:rsid w:val="006265EA"/>
    <w:rsid w:val="0064361C"/>
    <w:rsid w:val="00650D93"/>
    <w:rsid w:val="0065328D"/>
    <w:rsid w:val="006844AE"/>
    <w:rsid w:val="00686C95"/>
    <w:rsid w:val="006A2C4F"/>
    <w:rsid w:val="006A467F"/>
    <w:rsid w:val="006C196D"/>
    <w:rsid w:val="006E0343"/>
    <w:rsid w:val="006E1A20"/>
    <w:rsid w:val="00700B2B"/>
    <w:rsid w:val="00731D1C"/>
    <w:rsid w:val="00735230"/>
    <w:rsid w:val="00755858"/>
    <w:rsid w:val="00756E87"/>
    <w:rsid w:val="00771943"/>
    <w:rsid w:val="00774B65"/>
    <w:rsid w:val="00784589"/>
    <w:rsid w:val="007C0667"/>
    <w:rsid w:val="007D5407"/>
    <w:rsid w:val="007E31C9"/>
    <w:rsid w:val="007F2921"/>
    <w:rsid w:val="007F42F7"/>
    <w:rsid w:val="007F6344"/>
    <w:rsid w:val="007F6D21"/>
    <w:rsid w:val="00815B51"/>
    <w:rsid w:val="00815ED2"/>
    <w:rsid w:val="008303E1"/>
    <w:rsid w:val="00830DDB"/>
    <w:rsid w:val="008323E2"/>
    <w:rsid w:val="00837AE0"/>
    <w:rsid w:val="008564D7"/>
    <w:rsid w:val="00863228"/>
    <w:rsid w:val="00873344"/>
    <w:rsid w:val="008846CE"/>
    <w:rsid w:val="008A0ECC"/>
    <w:rsid w:val="008A42AD"/>
    <w:rsid w:val="008A503B"/>
    <w:rsid w:val="008A7853"/>
    <w:rsid w:val="008B4279"/>
    <w:rsid w:val="008C56AB"/>
    <w:rsid w:val="008D231E"/>
    <w:rsid w:val="008F11A3"/>
    <w:rsid w:val="008F21D3"/>
    <w:rsid w:val="00900C71"/>
    <w:rsid w:val="00901B29"/>
    <w:rsid w:val="00903027"/>
    <w:rsid w:val="009038B8"/>
    <w:rsid w:val="00912C41"/>
    <w:rsid w:val="009164EF"/>
    <w:rsid w:val="00923AA2"/>
    <w:rsid w:val="00933F82"/>
    <w:rsid w:val="00934773"/>
    <w:rsid w:val="0095698E"/>
    <w:rsid w:val="00974A0F"/>
    <w:rsid w:val="00984509"/>
    <w:rsid w:val="00991BE0"/>
    <w:rsid w:val="009A20CE"/>
    <w:rsid w:val="009A3FDE"/>
    <w:rsid w:val="009B1BE8"/>
    <w:rsid w:val="009C2181"/>
    <w:rsid w:val="009D12D2"/>
    <w:rsid w:val="009D2A08"/>
    <w:rsid w:val="009F4D1F"/>
    <w:rsid w:val="009F6A7B"/>
    <w:rsid w:val="00A00894"/>
    <w:rsid w:val="00A416A3"/>
    <w:rsid w:val="00A60FAA"/>
    <w:rsid w:val="00A6261E"/>
    <w:rsid w:val="00A758FB"/>
    <w:rsid w:val="00A77406"/>
    <w:rsid w:val="00A81D29"/>
    <w:rsid w:val="00A8243C"/>
    <w:rsid w:val="00A92D93"/>
    <w:rsid w:val="00AB1490"/>
    <w:rsid w:val="00AB37D5"/>
    <w:rsid w:val="00AC1627"/>
    <w:rsid w:val="00AD183F"/>
    <w:rsid w:val="00AE0083"/>
    <w:rsid w:val="00AE1C0A"/>
    <w:rsid w:val="00B04E7B"/>
    <w:rsid w:val="00B06AA9"/>
    <w:rsid w:val="00B203DF"/>
    <w:rsid w:val="00B44771"/>
    <w:rsid w:val="00B6128F"/>
    <w:rsid w:val="00B65515"/>
    <w:rsid w:val="00B74B72"/>
    <w:rsid w:val="00BA257E"/>
    <w:rsid w:val="00BA30D7"/>
    <w:rsid w:val="00BC0FFE"/>
    <w:rsid w:val="00BD4BB1"/>
    <w:rsid w:val="00BE2164"/>
    <w:rsid w:val="00BE339E"/>
    <w:rsid w:val="00BF2FCB"/>
    <w:rsid w:val="00C05953"/>
    <w:rsid w:val="00C34CB8"/>
    <w:rsid w:val="00C60776"/>
    <w:rsid w:val="00C6440E"/>
    <w:rsid w:val="00C97052"/>
    <w:rsid w:val="00CA0F6E"/>
    <w:rsid w:val="00CA362B"/>
    <w:rsid w:val="00CA363C"/>
    <w:rsid w:val="00CA4912"/>
    <w:rsid w:val="00CB558A"/>
    <w:rsid w:val="00CE4258"/>
    <w:rsid w:val="00D17350"/>
    <w:rsid w:val="00D33B7F"/>
    <w:rsid w:val="00D34C94"/>
    <w:rsid w:val="00D432DC"/>
    <w:rsid w:val="00D45AD4"/>
    <w:rsid w:val="00D5275D"/>
    <w:rsid w:val="00D56630"/>
    <w:rsid w:val="00D61661"/>
    <w:rsid w:val="00D7453D"/>
    <w:rsid w:val="00D8105F"/>
    <w:rsid w:val="00D93343"/>
    <w:rsid w:val="00DA57BD"/>
    <w:rsid w:val="00DC0FAD"/>
    <w:rsid w:val="00DE08C7"/>
    <w:rsid w:val="00DE0D51"/>
    <w:rsid w:val="00DE6E1C"/>
    <w:rsid w:val="00E00CE9"/>
    <w:rsid w:val="00E121FF"/>
    <w:rsid w:val="00E13E7D"/>
    <w:rsid w:val="00E3036D"/>
    <w:rsid w:val="00E34A70"/>
    <w:rsid w:val="00E62A31"/>
    <w:rsid w:val="00E6429E"/>
    <w:rsid w:val="00E722AB"/>
    <w:rsid w:val="00E7613C"/>
    <w:rsid w:val="00E8004E"/>
    <w:rsid w:val="00E91CE9"/>
    <w:rsid w:val="00E9357A"/>
    <w:rsid w:val="00E93F15"/>
    <w:rsid w:val="00EB3870"/>
    <w:rsid w:val="00EB65EC"/>
    <w:rsid w:val="00ED2B8D"/>
    <w:rsid w:val="00EF2755"/>
    <w:rsid w:val="00F01D9F"/>
    <w:rsid w:val="00F03B0C"/>
    <w:rsid w:val="00F03D91"/>
    <w:rsid w:val="00F1462A"/>
    <w:rsid w:val="00F33F25"/>
    <w:rsid w:val="00F34C1E"/>
    <w:rsid w:val="00F41E46"/>
    <w:rsid w:val="00F451F8"/>
    <w:rsid w:val="00F508ED"/>
    <w:rsid w:val="00F67641"/>
    <w:rsid w:val="00F76B9F"/>
    <w:rsid w:val="00F87EC9"/>
    <w:rsid w:val="00F94445"/>
    <w:rsid w:val="00F9569C"/>
    <w:rsid w:val="00FA5C8C"/>
    <w:rsid w:val="00FB02BD"/>
    <w:rsid w:val="00FD3531"/>
    <w:rsid w:val="00FE1988"/>
    <w:rsid w:val="00FF2FB8"/>
    <w:rsid w:val="00FF3B59"/>
    <w:rsid w:val="00FF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27516E"/>
  <w15:chartTrackingRefBased/>
  <w15:docId w15:val="{36CC5287-206D-485C-9C32-BE046DCA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7052"/>
    <w:rPr>
      <w:rFonts w:ascii="Tahoma" w:hAnsi="Tahoma" w:cs="Tahoma"/>
      <w:sz w:val="16"/>
      <w:szCs w:val="16"/>
    </w:rPr>
  </w:style>
  <w:style w:type="paragraph" w:styleId="FootnoteText">
    <w:name w:val="footnote text"/>
    <w:basedOn w:val="Normal"/>
    <w:link w:val="FootnoteTextChar"/>
    <w:rsid w:val="00153669"/>
    <w:rPr>
      <w:sz w:val="20"/>
      <w:szCs w:val="20"/>
    </w:rPr>
  </w:style>
  <w:style w:type="character" w:customStyle="1" w:styleId="FootnoteTextChar">
    <w:name w:val="Footnote Text Char"/>
    <w:basedOn w:val="DefaultParagraphFont"/>
    <w:link w:val="FootnoteText"/>
    <w:rsid w:val="00153669"/>
  </w:style>
  <w:style w:type="character" w:styleId="FootnoteReference">
    <w:name w:val="footnote reference"/>
    <w:basedOn w:val="DefaultParagraphFont"/>
    <w:rsid w:val="00153669"/>
    <w:rPr>
      <w:vertAlign w:val="superscript"/>
    </w:rPr>
  </w:style>
  <w:style w:type="paragraph" w:styleId="Title">
    <w:name w:val="Title"/>
    <w:basedOn w:val="Normal"/>
    <w:link w:val="TitleChar"/>
    <w:qFormat/>
    <w:rsid w:val="00A758FB"/>
    <w:pPr>
      <w:jc w:val="center"/>
    </w:pPr>
    <w:rPr>
      <w:b/>
      <w:bCs/>
    </w:rPr>
  </w:style>
  <w:style w:type="character" w:customStyle="1" w:styleId="TitleChar">
    <w:name w:val="Title Char"/>
    <w:basedOn w:val="DefaultParagraphFont"/>
    <w:link w:val="Title"/>
    <w:rsid w:val="00A758FB"/>
    <w:rPr>
      <w:b/>
      <w:bCs/>
      <w:sz w:val="24"/>
      <w:szCs w:val="24"/>
    </w:rPr>
  </w:style>
  <w:style w:type="paragraph" w:styleId="ListParagraph">
    <w:name w:val="List Paragraph"/>
    <w:basedOn w:val="Normal"/>
    <w:uiPriority w:val="72"/>
    <w:qFormat/>
    <w:rsid w:val="00A758FB"/>
    <w:pPr>
      <w:ind w:left="720"/>
    </w:pPr>
  </w:style>
  <w:style w:type="paragraph" w:styleId="NormalWeb">
    <w:name w:val="Normal (Web)"/>
    <w:basedOn w:val="Normal"/>
    <w:uiPriority w:val="99"/>
    <w:unhideWhenUsed/>
    <w:rsid w:val="00EB3870"/>
    <w:pPr>
      <w:spacing w:before="100" w:beforeAutospacing="1" w:after="100" w:afterAutospacing="1"/>
    </w:pPr>
  </w:style>
  <w:style w:type="paragraph" w:customStyle="1" w:styleId="Default">
    <w:name w:val="Default"/>
    <w:rsid w:val="00CA0F6E"/>
    <w:pPr>
      <w:autoSpaceDE w:val="0"/>
      <w:autoSpaceDN w:val="0"/>
      <w:adjustRightInd w:val="0"/>
    </w:pPr>
    <w:rPr>
      <w:color w:val="000000"/>
      <w:sz w:val="24"/>
      <w:szCs w:val="24"/>
    </w:rPr>
  </w:style>
  <w:style w:type="paragraph" w:styleId="Header">
    <w:name w:val="header"/>
    <w:basedOn w:val="Normal"/>
    <w:link w:val="HeaderChar"/>
    <w:rsid w:val="002E7C9C"/>
    <w:pPr>
      <w:tabs>
        <w:tab w:val="center" w:pos="4680"/>
        <w:tab w:val="right" w:pos="9360"/>
      </w:tabs>
    </w:pPr>
  </w:style>
  <w:style w:type="character" w:customStyle="1" w:styleId="HeaderChar">
    <w:name w:val="Header Char"/>
    <w:basedOn w:val="DefaultParagraphFont"/>
    <w:link w:val="Header"/>
    <w:rsid w:val="002E7C9C"/>
    <w:rPr>
      <w:sz w:val="24"/>
      <w:szCs w:val="24"/>
    </w:rPr>
  </w:style>
  <w:style w:type="paragraph" w:styleId="Footer">
    <w:name w:val="footer"/>
    <w:basedOn w:val="Normal"/>
    <w:link w:val="FooterChar"/>
    <w:uiPriority w:val="99"/>
    <w:rsid w:val="002E7C9C"/>
    <w:pPr>
      <w:tabs>
        <w:tab w:val="center" w:pos="4680"/>
        <w:tab w:val="right" w:pos="9360"/>
      </w:tabs>
    </w:pPr>
  </w:style>
  <w:style w:type="character" w:customStyle="1" w:styleId="FooterChar">
    <w:name w:val="Footer Char"/>
    <w:basedOn w:val="DefaultParagraphFont"/>
    <w:link w:val="Footer"/>
    <w:uiPriority w:val="99"/>
    <w:rsid w:val="002E7C9C"/>
    <w:rPr>
      <w:sz w:val="24"/>
      <w:szCs w:val="24"/>
    </w:rPr>
  </w:style>
  <w:style w:type="table" w:styleId="TableGrid">
    <w:name w:val="Table Grid"/>
    <w:basedOn w:val="TableNormal"/>
    <w:uiPriority w:val="59"/>
    <w:rsid w:val="0030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044E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rFonts w:ascii="Arial" w:hAnsi="Arial" w:cs="Arial"/>
    </w:rPr>
  </w:style>
  <w:style w:type="character" w:customStyle="1" w:styleId="BodyTextIndentChar">
    <w:name w:val="Body Text Indent Char"/>
    <w:basedOn w:val="DefaultParagraphFont"/>
    <w:link w:val="BodyTextIndent"/>
    <w:rsid w:val="003044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ityofjohn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7235-7CEE-4FDD-8EBA-64467FD9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1595</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GBCI</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Gregg</dc:creator>
  <cp:keywords/>
  <dc:description/>
  <cp:lastModifiedBy>Daisy Goebel</cp:lastModifiedBy>
  <cp:revision>9</cp:revision>
  <cp:lastPrinted>2017-05-02T21:54:00Z</cp:lastPrinted>
  <dcterms:created xsi:type="dcterms:W3CDTF">2020-01-09T19:11:00Z</dcterms:created>
  <dcterms:modified xsi:type="dcterms:W3CDTF">2021-03-31T17:56:00Z</dcterms:modified>
</cp:coreProperties>
</file>