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08DE4" w14:textId="77777777" w:rsidR="00854440" w:rsidRDefault="00854440">
      <w:pPr>
        <w:rPr>
          <w:rFonts w:ascii="Arial" w:hAnsi="Arial" w:cs="Arial"/>
          <w:sz w:val="22"/>
          <w:szCs w:val="22"/>
        </w:rPr>
      </w:pPr>
    </w:p>
    <w:tbl>
      <w:tblPr>
        <w:tblStyle w:val="TableGrid"/>
        <w:tblW w:w="0" w:type="auto"/>
        <w:tblLook w:val="04A0" w:firstRow="1" w:lastRow="0" w:firstColumn="1" w:lastColumn="0" w:noHBand="0" w:noVBand="1"/>
      </w:tblPr>
      <w:tblGrid>
        <w:gridCol w:w="4667"/>
        <w:gridCol w:w="4683"/>
      </w:tblGrid>
      <w:tr w:rsidR="00BF4EF4" w14:paraId="678FA7CD" w14:textId="77777777" w:rsidTr="0057330A">
        <w:tc>
          <w:tcPr>
            <w:tcW w:w="478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1D94FFE" w14:textId="77777777" w:rsidR="00BF4EF4" w:rsidRDefault="00BF4EF4" w:rsidP="0057330A">
            <w:pPr>
              <w:rPr>
                <w:b/>
                <w:sz w:val="28"/>
              </w:rPr>
            </w:pPr>
            <w:r w:rsidRPr="0014084F">
              <w:rPr>
                <w:noProof/>
              </w:rPr>
              <w:drawing>
                <wp:inline distT="0" distB="0" distL="0" distR="0" wp14:anchorId="4B7B89E3" wp14:editId="5D65AFAA">
                  <wp:extent cx="1073150" cy="1085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977" cy="1099228"/>
                          </a:xfrm>
                          <a:prstGeom prst="rect">
                            <a:avLst/>
                          </a:prstGeom>
                          <a:noFill/>
                          <a:ln>
                            <a:noFill/>
                          </a:ln>
                        </pic:spPr>
                      </pic:pic>
                    </a:graphicData>
                  </a:graphic>
                </wp:inline>
              </w:drawing>
            </w:r>
          </w:p>
        </w:tc>
        <w:tc>
          <w:tcPr>
            <w:tcW w:w="478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78DE7E3D" w14:textId="77777777" w:rsidR="00BF4EF4" w:rsidRPr="003F4F97" w:rsidRDefault="00BF4EF4" w:rsidP="0057330A">
            <w:pPr>
              <w:jc w:val="right"/>
              <w:rPr>
                <w:rFonts w:ascii="Arial" w:hAnsi="Arial" w:cs="Arial"/>
                <w:i/>
                <w:iCs/>
                <w:sz w:val="20"/>
              </w:rPr>
            </w:pPr>
            <w:r w:rsidRPr="003F4F97">
              <w:rPr>
                <w:rFonts w:ascii="Arial" w:hAnsi="Arial" w:cs="Arial"/>
                <w:i/>
                <w:iCs/>
                <w:sz w:val="20"/>
              </w:rPr>
              <w:t>450 E. Main Street</w:t>
            </w:r>
          </w:p>
          <w:p w14:paraId="0A9DE87E" w14:textId="77777777" w:rsidR="00BF4EF4" w:rsidRPr="003F4F97" w:rsidRDefault="00BF4EF4" w:rsidP="0057330A">
            <w:pPr>
              <w:jc w:val="right"/>
              <w:rPr>
                <w:rFonts w:ascii="Arial" w:hAnsi="Arial" w:cs="Arial"/>
                <w:i/>
                <w:iCs/>
                <w:sz w:val="20"/>
              </w:rPr>
            </w:pPr>
            <w:r w:rsidRPr="003F4F97">
              <w:rPr>
                <w:rFonts w:ascii="Arial" w:hAnsi="Arial" w:cs="Arial"/>
                <w:i/>
                <w:iCs/>
                <w:sz w:val="20"/>
              </w:rPr>
              <w:t>John Day, OR 97845</w:t>
            </w:r>
          </w:p>
          <w:p w14:paraId="66ECE6D7" w14:textId="77777777" w:rsidR="00BF4EF4" w:rsidRDefault="00C94879" w:rsidP="0057330A">
            <w:pPr>
              <w:jc w:val="right"/>
              <w:rPr>
                <w:rStyle w:val="Hyperlink"/>
                <w:rFonts w:ascii="Arial" w:hAnsi="Arial" w:cs="Arial"/>
                <w:i/>
                <w:iCs/>
                <w:sz w:val="20"/>
              </w:rPr>
            </w:pPr>
            <w:hyperlink r:id="rId9" w:history="1">
              <w:r w:rsidR="00BF4EF4" w:rsidRPr="003F4F97">
                <w:rPr>
                  <w:rStyle w:val="Hyperlink"/>
                  <w:rFonts w:ascii="Arial" w:hAnsi="Arial" w:cs="Arial"/>
                  <w:i/>
                  <w:iCs/>
                  <w:sz w:val="20"/>
                </w:rPr>
                <w:t>www.cityofjohnday.com</w:t>
              </w:r>
            </w:hyperlink>
          </w:p>
          <w:p w14:paraId="2960A15F" w14:textId="77777777" w:rsidR="00BF4EF4" w:rsidRPr="003F4F97" w:rsidRDefault="00BF4EF4" w:rsidP="0057330A">
            <w:pPr>
              <w:jc w:val="right"/>
              <w:rPr>
                <w:rFonts w:ascii="Arial" w:hAnsi="Arial" w:cs="Arial"/>
                <w:bCs/>
                <w:i/>
                <w:iCs/>
                <w:sz w:val="20"/>
              </w:rPr>
            </w:pPr>
            <w:r w:rsidRPr="003F4F97">
              <w:rPr>
                <w:rFonts w:ascii="Arial" w:hAnsi="Arial" w:cs="Arial"/>
                <w:bCs/>
                <w:i/>
                <w:iCs/>
                <w:sz w:val="20"/>
              </w:rPr>
              <w:t>Tel: (541) 575-0028</w:t>
            </w:r>
          </w:p>
          <w:p w14:paraId="7B1B7620" w14:textId="77777777" w:rsidR="00BF4EF4" w:rsidRPr="003F4F97" w:rsidRDefault="00BF4EF4" w:rsidP="0057330A">
            <w:pPr>
              <w:jc w:val="right"/>
              <w:rPr>
                <w:bCs/>
                <w:i/>
                <w:iCs/>
                <w:sz w:val="28"/>
              </w:rPr>
            </w:pPr>
            <w:r w:rsidRPr="003F4F97">
              <w:rPr>
                <w:rFonts w:ascii="Arial" w:hAnsi="Arial" w:cs="Arial"/>
                <w:bCs/>
                <w:i/>
                <w:iCs/>
                <w:sz w:val="20"/>
              </w:rPr>
              <w:t>Fax: (541) 575-3668</w:t>
            </w:r>
          </w:p>
        </w:tc>
      </w:tr>
      <w:tr w:rsidR="00BF4EF4" w:rsidRPr="003F4F97" w14:paraId="2958B745" w14:textId="77777777" w:rsidTr="0057330A">
        <w:tc>
          <w:tcPr>
            <w:tcW w:w="478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255F2F" w14:textId="77777777" w:rsidR="00BF4EF4" w:rsidRPr="0014084F" w:rsidRDefault="00BF4EF4" w:rsidP="0057330A"/>
        </w:tc>
        <w:tc>
          <w:tcPr>
            <w:tcW w:w="47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6DC13D47" w14:textId="77777777" w:rsidR="00BF4EF4" w:rsidRPr="003F4F97" w:rsidRDefault="00BF4EF4" w:rsidP="0057330A">
            <w:pPr>
              <w:jc w:val="right"/>
              <w:rPr>
                <w:rFonts w:ascii="Arial" w:hAnsi="Arial" w:cs="Arial"/>
                <w:i/>
                <w:iCs/>
                <w:sz w:val="21"/>
                <w:szCs w:val="21"/>
              </w:rPr>
            </w:pPr>
          </w:p>
        </w:tc>
      </w:tr>
    </w:tbl>
    <w:p w14:paraId="71016021" w14:textId="6BFBB19A" w:rsidR="001D67C7" w:rsidRDefault="001D67C7" w:rsidP="000B4681">
      <w:pPr>
        <w:widowControl w:val="0"/>
        <w:jc w:val="center"/>
        <w:rPr>
          <w:rFonts w:ascii="Arial" w:hAnsi="Arial" w:cs="Arial"/>
          <w:sz w:val="22"/>
          <w:szCs w:val="22"/>
          <w:u w:val="single"/>
        </w:rPr>
      </w:pPr>
    </w:p>
    <w:p w14:paraId="3098B965" w14:textId="1D388BFE" w:rsidR="001D67C7" w:rsidRPr="00C357F0" w:rsidRDefault="001D67C7" w:rsidP="001D67C7">
      <w:pPr>
        <w:widowControl w:val="0"/>
        <w:jc w:val="center"/>
        <w:rPr>
          <w:rFonts w:ascii="Palatino" w:hAnsi="Palatino"/>
          <w:b/>
          <w:color w:val="FF0000"/>
          <w:sz w:val="22"/>
          <w:szCs w:val="22"/>
        </w:rPr>
      </w:pPr>
      <w:r w:rsidRPr="00CA1533">
        <w:rPr>
          <w:rFonts w:ascii="Palatino" w:hAnsi="Palatino"/>
          <w:b/>
          <w:sz w:val="22"/>
          <w:szCs w:val="22"/>
        </w:rPr>
        <w:t>STAFF REPORT</w:t>
      </w:r>
      <w:r w:rsidR="006B7E56" w:rsidRPr="00CA1533">
        <w:rPr>
          <w:rFonts w:ascii="Palatino" w:hAnsi="Palatino"/>
          <w:b/>
          <w:sz w:val="22"/>
          <w:szCs w:val="22"/>
        </w:rPr>
        <w:t xml:space="preserve"> AMD-20-10</w:t>
      </w:r>
    </w:p>
    <w:p w14:paraId="6CD84C29" w14:textId="77777777" w:rsidR="00854440" w:rsidRPr="00CA1533" w:rsidRDefault="00854440" w:rsidP="00854440">
      <w:pPr>
        <w:widowControl w:val="0"/>
        <w:rPr>
          <w:rFonts w:ascii="Palatino" w:hAnsi="Palatino"/>
          <w:sz w:val="22"/>
          <w:szCs w:val="22"/>
          <w:u w:val="single"/>
        </w:rPr>
      </w:pPr>
    </w:p>
    <w:p w14:paraId="31F7D898" w14:textId="6BD6AC85" w:rsidR="00E157D1" w:rsidRPr="00CA1533" w:rsidRDefault="00E157D1" w:rsidP="00E157D1">
      <w:pPr>
        <w:rPr>
          <w:rFonts w:ascii="Palatino" w:hAnsi="Palatino"/>
          <w:sz w:val="22"/>
          <w:szCs w:val="22"/>
        </w:rPr>
      </w:pPr>
      <w:r w:rsidRPr="00CA1533">
        <w:rPr>
          <w:rFonts w:ascii="Palatino" w:hAnsi="Palatino"/>
          <w:b/>
          <w:bCs/>
          <w:sz w:val="22"/>
          <w:szCs w:val="22"/>
        </w:rPr>
        <w:t>Date Submitted:</w:t>
      </w:r>
      <w:r w:rsidRPr="00CA1533">
        <w:rPr>
          <w:rFonts w:ascii="Palatino" w:hAnsi="Palatino"/>
          <w:sz w:val="22"/>
          <w:szCs w:val="22"/>
        </w:rPr>
        <w:tab/>
      </w:r>
      <w:r w:rsidRPr="00CA1533">
        <w:rPr>
          <w:rFonts w:ascii="Palatino" w:hAnsi="Palatino"/>
          <w:sz w:val="22"/>
          <w:szCs w:val="22"/>
        </w:rPr>
        <w:tab/>
      </w:r>
      <w:r w:rsidRPr="00CA1533">
        <w:rPr>
          <w:rFonts w:ascii="Palatino" w:hAnsi="Palatino"/>
          <w:sz w:val="22"/>
          <w:szCs w:val="22"/>
        </w:rPr>
        <w:tab/>
      </w:r>
      <w:r w:rsidR="00F473E3">
        <w:rPr>
          <w:rFonts w:ascii="Palatino" w:hAnsi="Palatino"/>
          <w:sz w:val="22"/>
          <w:szCs w:val="22"/>
        </w:rPr>
        <w:t>Wednesday, March 31</w:t>
      </w:r>
      <w:r w:rsidR="001054C7" w:rsidRPr="00CA1533">
        <w:rPr>
          <w:rFonts w:ascii="Palatino" w:hAnsi="Palatino"/>
          <w:sz w:val="22"/>
          <w:szCs w:val="22"/>
        </w:rPr>
        <w:t>, 2021</w:t>
      </w:r>
    </w:p>
    <w:p w14:paraId="0C3CFD1D" w14:textId="77777777" w:rsidR="00E157D1" w:rsidRPr="00CA1533" w:rsidRDefault="00E157D1" w:rsidP="00E157D1">
      <w:pPr>
        <w:rPr>
          <w:rFonts w:ascii="Palatino" w:hAnsi="Palatino"/>
          <w:sz w:val="22"/>
          <w:szCs w:val="22"/>
        </w:rPr>
      </w:pPr>
    </w:p>
    <w:p w14:paraId="1AC6F65D" w14:textId="1013E31B" w:rsidR="00E157D1" w:rsidRPr="00CA1533" w:rsidRDefault="00E157D1" w:rsidP="00E157D1">
      <w:pPr>
        <w:rPr>
          <w:rFonts w:ascii="Palatino" w:hAnsi="Palatino"/>
          <w:sz w:val="22"/>
          <w:szCs w:val="22"/>
        </w:rPr>
      </w:pPr>
      <w:r w:rsidRPr="00CA1533">
        <w:rPr>
          <w:rFonts w:ascii="Palatino" w:hAnsi="Palatino"/>
          <w:b/>
          <w:bCs/>
          <w:sz w:val="22"/>
          <w:szCs w:val="22"/>
        </w:rPr>
        <w:t>Agenda Date Requested:</w:t>
      </w:r>
      <w:r w:rsidRPr="00CA1533">
        <w:rPr>
          <w:rFonts w:ascii="Palatino" w:hAnsi="Palatino"/>
          <w:sz w:val="22"/>
          <w:szCs w:val="22"/>
        </w:rPr>
        <w:tab/>
      </w:r>
      <w:r w:rsidRPr="00CA1533">
        <w:rPr>
          <w:rFonts w:ascii="Palatino" w:hAnsi="Palatino"/>
          <w:sz w:val="22"/>
          <w:szCs w:val="22"/>
        </w:rPr>
        <w:tab/>
      </w:r>
      <w:r w:rsidR="001054C7" w:rsidRPr="00CA1533">
        <w:rPr>
          <w:rFonts w:ascii="Palatino" w:hAnsi="Palatino"/>
          <w:sz w:val="22"/>
          <w:szCs w:val="22"/>
        </w:rPr>
        <w:t>Wednesday, April 7, 2021</w:t>
      </w:r>
    </w:p>
    <w:p w14:paraId="5DE6036F" w14:textId="77777777" w:rsidR="00E157D1" w:rsidRPr="00CA1533" w:rsidRDefault="00E157D1" w:rsidP="00E157D1">
      <w:pPr>
        <w:rPr>
          <w:rFonts w:ascii="Palatino" w:hAnsi="Palatino"/>
          <w:sz w:val="22"/>
          <w:szCs w:val="22"/>
        </w:rPr>
      </w:pPr>
    </w:p>
    <w:p w14:paraId="04DAE925" w14:textId="1B619ED9" w:rsidR="00E157D1" w:rsidRPr="00CA1533" w:rsidRDefault="00E157D1" w:rsidP="00E157D1">
      <w:pPr>
        <w:rPr>
          <w:rFonts w:ascii="Palatino" w:hAnsi="Palatino"/>
          <w:sz w:val="22"/>
          <w:szCs w:val="22"/>
        </w:rPr>
      </w:pPr>
      <w:r w:rsidRPr="00CA1533">
        <w:rPr>
          <w:rFonts w:ascii="Palatino" w:hAnsi="Palatino"/>
          <w:b/>
          <w:bCs/>
          <w:sz w:val="22"/>
          <w:szCs w:val="22"/>
        </w:rPr>
        <w:t>To:</w:t>
      </w:r>
      <w:r w:rsidRPr="00CA1533">
        <w:rPr>
          <w:rFonts w:ascii="Palatino" w:hAnsi="Palatino"/>
          <w:sz w:val="22"/>
          <w:szCs w:val="22"/>
        </w:rPr>
        <w:tab/>
      </w:r>
      <w:r w:rsidRPr="00CA1533">
        <w:rPr>
          <w:rFonts w:ascii="Palatino" w:hAnsi="Palatino"/>
          <w:sz w:val="22"/>
          <w:szCs w:val="22"/>
        </w:rPr>
        <w:tab/>
      </w:r>
      <w:r w:rsidRPr="00CA1533">
        <w:rPr>
          <w:rFonts w:ascii="Palatino" w:hAnsi="Palatino"/>
          <w:sz w:val="22"/>
          <w:szCs w:val="22"/>
        </w:rPr>
        <w:tab/>
      </w:r>
      <w:r w:rsidRPr="00CA1533">
        <w:rPr>
          <w:rFonts w:ascii="Palatino" w:hAnsi="Palatino"/>
          <w:sz w:val="22"/>
          <w:szCs w:val="22"/>
        </w:rPr>
        <w:tab/>
      </w:r>
      <w:r w:rsidRPr="00CA1533">
        <w:rPr>
          <w:rFonts w:ascii="Palatino" w:hAnsi="Palatino"/>
          <w:sz w:val="22"/>
          <w:szCs w:val="22"/>
        </w:rPr>
        <w:tab/>
        <w:t>John Day Planning Commission</w:t>
      </w:r>
    </w:p>
    <w:p w14:paraId="1C510050" w14:textId="77777777" w:rsidR="00E157D1" w:rsidRPr="00CA1533" w:rsidRDefault="00E157D1" w:rsidP="00E157D1">
      <w:pPr>
        <w:rPr>
          <w:rFonts w:ascii="Palatino" w:hAnsi="Palatino"/>
          <w:sz w:val="22"/>
          <w:szCs w:val="22"/>
        </w:rPr>
      </w:pPr>
    </w:p>
    <w:p w14:paraId="6A85AFC9" w14:textId="164E5FA1" w:rsidR="00E157D1" w:rsidRPr="00CA1533" w:rsidRDefault="00E157D1" w:rsidP="00E157D1">
      <w:pPr>
        <w:rPr>
          <w:rFonts w:ascii="Palatino" w:hAnsi="Palatino"/>
          <w:sz w:val="22"/>
          <w:szCs w:val="22"/>
        </w:rPr>
      </w:pPr>
      <w:r w:rsidRPr="00CA1533">
        <w:rPr>
          <w:rFonts w:ascii="Palatino" w:hAnsi="Palatino"/>
          <w:b/>
          <w:bCs/>
          <w:sz w:val="22"/>
          <w:szCs w:val="22"/>
        </w:rPr>
        <w:t>From:</w:t>
      </w:r>
      <w:r w:rsidRPr="00CA1533">
        <w:rPr>
          <w:rFonts w:ascii="Palatino" w:hAnsi="Palatino"/>
          <w:sz w:val="22"/>
          <w:szCs w:val="22"/>
        </w:rPr>
        <w:tab/>
      </w:r>
      <w:r w:rsidRPr="00CA1533">
        <w:rPr>
          <w:rFonts w:ascii="Palatino" w:hAnsi="Palatino"/>
          <w:sz w:val="22"/>
          <w:szCs w:val="22"/>
        </w:rPr>
        <w:tab/>
      </w:r>
      <w:r w:rsidRPr="00CA1533">
        <w:rPr>
          <w:rFonts w:ascii="Palatino" w:hAnsi="Palatino"/>
          <w:sz w:val="22"/>
          <w:szCs w:val="22"/>
        </w:rPr>
        <w:tab/>
      </w:r>
      <w:r w:rsidRPr="00CA1533">
        <w:rPr>
          <w:rFonts w:ascii="Palatino" w:hAnsi="Palatino"/>
          <w:sz w:val="22"/>
          <w:szCs w:val="22"/>
        </w:rPr>
        <w:tab/>
      </w:r>
      <w:r w:rsidRPr="00CA1533">
        <w:rPr>
          <w:rFonts w:ascii="Palatino" w:hAnsi="Palatino"/>
          <w:sz w:val="22"/>
          <w:szCs w:val="22"/>
        </w:rPr>
        <w:tab/>
      </w:r>
      <w:r w:rsidR="00850CBF" w:rsidRPr="00CA1533">
        <w:rPr>
          <w:rFonts w:ascii="Palatino" w:hAnsi="Palatino"/>
          <w:sz w:val="22"/>
          <w:szCs w:val="22"/>
        </w:rPr>
        <w:t>Daisy Goebel</w:t>
      </w:r>
      <w:r w:rsidR="008A4E44" w:rsidRPr="00CA1533">
        <w:rPr>
          <w:rFonts w:ascii="Palatino" w:hAnsi="Palatino"/>
          <w:sz w:val="22"/>
          <w:szCs w:val="22"/>
        </w:rPr>
        <w:t xml:space="preserve">, </w:t>
      </w:r>
      <w:r w:rsidR="00850CBF" w:rsidRPr="00CA1533">
        <w:rPr>
          <w:rFonts w:ascii="Palatino" w:hAnsi="Palatino"/>
          <w:sz w:val="22"/>
          <w:szCs w:val="22"/>
        </w:rPr>
        <w:t>City of John Day</w:t>
      </w:r>
    </w:p>
    <w:p w14:paraId="25B5B11A" w14:textId="087373BF" w:rsidR="00E157D1" w:rsidRPr="00CA1533" w:rsidRDefault="00850CBF" w:rsidP="00E157D1">
      <w:pPr>
        <w:ind w:left="3600"/>
        <w:rPr>
          <w:rFonts w:ascii="Palatino" w:hAnsi="Palatino"/>
          <w:sz w:val="22"/>
          <w:szCs w:val="22"/>
        </w:rPr>
      </w:pPr>
      <w:r w:rsidRPr="00CA1533">
        <w:rPr>
          <w:rFonts w:ascii="Palatino" w:hAnsi="Palatino"/>
          <w:sz w:val="22"/>
          <w:szCs w:val="22"/>
        </w:rPr>
        <w:t>Associate Planner</w:t>
      </w:r>
    </w:p>
    <w:p w14:paraId="4657E852" w14:textId="77777777" w:rsidR="00E157D1" w:rsidRPr="00CA1533" w:rsidRDefault="00E157D1" w:rsidP="00E157D1">
      <w:pPr>
        <w:rPr>
          <w:rFonts w:ascii="Palatino" w:hAnsi="Palatino"/>
          <w:sz w:val="22"/>
          <w:szCs w:val="22"/>
        </w:rPr>
      </w:pPr>
    </w:p>
    <w:p w14:paraId="35785C45" w14:textId="23DECC3E" w:rsidR="00E157D1" w:rsidRPr="00CA1533" w:rsidRDefault="00E157D1" w:rsidP="00EB4817">
      <w:pPr>
        <w:ind w:left="3553" w:hanging="3553"/>
        <w:rPr>
          <w:rFonts w:ascii="Palatino" w:hAnsi="Palatino"/>
          <w:sz w:val="22"/>
          <w:szCs w:val="22"/>
        </w:rPr>
      </w:pPr>
      <w:r w:rsidRPr="00CA1533">
        <w:rPr>
          <w:rFonts w:ascii="Palatino" w:hAnsi="Palatino"/>
          <w:b/>
          <w:bCs/>
          <w:sz w:val="22"/>
          <w:szCs w:val="22"/>
        </w:rPr>
        <w:t>Subject:</w:t>
      </w:r>
      <w:r w:rsidRPr="00CA1533">
        <w:rPr>
          <w:rFonts w:ascii="Palatino" w:hAnsi="Palatino"/>
          <w:sz w:val="22"/>
          <w:szCs w:val="22"/>
        </w:rPr>
        <w:tab/>
      </w:r>
      <w:r w:rsidR="0064307E" w:rsidRPr="00CA1533">
        <w:rPr>
          <w:rFonts w:ascii="Palatino" w:hAnsi="Palatino"/>
          <w:sz w:val="22"/>
          <w:szCs w:val="22"/>
        </w:rPr>
        <w:t>Ordinance No. 20-187</w:t>
      </w:r>
      <w:r w:rsidR="008D32D5" w:rsidRPr="00CA1533">
        <w:rPr>
          <w:rFonts w:ascii="Palatino" w:hAnsi="Palatino"/>
          <w:sz w:val="22"/>
          <w:szCs w:val="22"/>
        </w:rPr>
        <w:t>-0</w:t>
      </w:r>
      <w:r w:rsidR="0064307E" w:rsidRPr="00CA1533">
        <w:rPr>
          <w:rFonts w:ascii="Palatino" w:hAnsi="Palatino"/>
          <w:sz w:val="22"/>
          <w:szCs w:val="22"/>
        </w:rPr>
        <w:t>8</w:t>
      </w:r>
      <w:r w:rsidR="008D32D5" w:rsidRPr="00CA1533">
        <w:rPr>
          <w:rFonts w:ascii="Palatino" w:hAnsi="Palatino"/>
          <w:sz w:val="22"/>
          <w:szCs w:val="22"/>
        </w:rPr>
        <w:t xml:space="preserve">, </w:t>
      </w:r>
      <w:r w:rsidR="00EB4817" w:rsidRPr="00CA1533">
        <w:rPr>
          <w:rFonts w:ascii="Palatino" w:hAnsi="Palatino"/>
          <w:sz w:val="22"/>
          <w:szCs w:val="22"/>
        </w:rPr>
        <w:t>An O</w:t>
      </w:r>
      <w:r w:rsidR="00037A5F" w:rsidRPr="00CA1533">
        <w:rPr>
          <w:rFonts w:ascii="Palatino" w:hAnsi="Palatino"/>
          <w:sz w:val="22"/>
          <w:szCs w:val="22"/>
        </w:rPr>
        <w:t xml:space="preserve">rdinance </w:t>
      </w:r>
      <w:r w:rsidR="00EB4817" w:rsidRPr="00CA1533">
        <w:rPr>
          <w:rFonts w:ascii="Palatino" w:hAnsi="Palatino"/>
          <w:sz w:val="22"/>
          <w:szCs w:val="22"/>
        </w:rPr>
        <w:t>Amending the John Day Development Code to Strengthen and Clarify Enforcement Provisions within the Code (Type IV Procedure)</w:t>
      </w:r>
    </w:p>
    <w:p w14:paraId="65788BAC" w14:textId="77777777" w:rsidR="00E157D1" w:rsidRPr="00CA1533" w:rsidRDefault="00E157D1" w:rsidP="00E157D1">
      <w:pPr>
        <w:tabs>
          <w:tab w:val="left" w:pos="3600"/>
        </w:tabs>
        <w:ind w:left="3553" w:hanging="3553"/>
        <w:rPr>
          <w:rFonts w:ascii="Palatino" w:hAnsi="Palatino"/>
          <w:sz w:val="22"/>
          <w:szCs w:val="22"/>
        </w:rPr>
      </w:pPr>
    </w:p>
    <w:p w14:paraId="5C931FB2" w14:textId="77777777" w:rsidR="00E157D1" w:rsidRPr="00CA1533" w:rsidRDefault="00E157D1" w:rsidP="00E157D1">
      <w:pPr>
        <w:tabs>
          <w:tab w:val="left" w:pos="3600"/>
        </w:tabs>
        <w:ind w:left="3553" w:hanging="3553"/>
        <w:rPr>
          <w:rFonts w:ascii="Palatino" w:hAnsi="Palatino"/>
          <w:sz w:val="22"/>
          <w:szCs w:val="22"/>
        </w:rPr>
      </w:pPr>
      <w:r w:rsidRPr="00CA1533">
        <w:rPr>
          <w:rFonts w:ascii="Palatino" w:hAnsi="Palatino"/>
          <w:b/>
          <w:bCs/>
          <w:sz w:val="22"/>
          <w:szCs w:val="22"/>
        </w:rPr>
        <w:t>Location:</w:t>
      </w:r>
      <w:r w:rsidRPr="00CA1533">
        <w:rPr>
          <w:rFonts w:ascii="Palatino" w:hAnsi="Palatino"/>
          <w:sz w:val="22"/>
          <w:szCs w:val="22"/>
        </w:rPr>
        <w:tab/>
        <w:t>Citywide</w:t>
      </w:r>
    </w:p>
    <w:p w14:paraId="1333E42E" w14:textId="77777777" w:rsidR="00E157D1" w:rsidRPr="00CA1533" w:rsidRDefault="00E157D1" w:rsidP="00E157D1">
      <w:pPr>
        <w:ind w:left="3553" w:hanging="3553"/>
        <w:rPr>
          <w:rFonts w:ascii="Palatino" w:hAnsi="Palatino"/>
          <w:sz w:val="22"/>
          <w:szCs w:val="22"/>
        </w:rPr>
      </w:pPr>
    </w:p>
    <w:p w14:paraId="48C57D7F" w14:textId="77777777" w:rsidR="00E157D1" w:rsidRPr="00CA1533" w:rsidRDefault="00E157D1" w:rsidP="00E157D1">
      <w:pPr>
        <w:ind w:left="3553" w:hanging="3553"/>
        <w:rPr>
          <w:rFonts w:ascii="Palatino" w:hAnsi="Palatino"/>
          <w:b/>
          <w:bCs/>
          <w:sz w:val="22"/>
          <w:szCs w:val="22"/>
        </w:rPr>
      </w:pPr>
      <w:r w:rsidRPr="00CA1533">
        <w:rPr>
          <w:rFonts w:ascii="Palatino" w:hAnsi="Palatino"/>
          <w:b/>
          <w:bCs/>
          <w:sz w:val="22"/>
          <w:szCs w:val="22"/>
        </w:rPr>
        <w:t>Type of Action Requested</w:t>
      </w:r>
    </w:p>
    <w:p w14:paraId="5B6C413C" w14:textId="77777777" w:rsidR="00E157D1" w:rsidRPr="00CA1533" w:rsidRDefault="00E157D1" w:rsidP="00E157D1">
      <w:pPr>
        <w:ind w:left="3553" w:hanging="3553"/>
        <w:rPr>
          <w:rFonts w:ascii="Palatino" w:hAnsi="Palatino"/>
          <w:sz w:val="22"/>
          <w:szCs w:val="22"/>
        </w:rPr>
      </w:pPr>
    </w:p>
    <w:p w14:paraId="630F7B4D" w14:textId="45466787" w:rsidR="00E157D1" w:rsidRPr="00CA1533" w:rsidRDefault="00E157D1" w:rsidP="00E157D1">
      <w:pPr>
        <w:rPr>
          <w:rFonts w:ascii="Palatino" w:hAnsi="Palatino"/>
          <w:b/>
          <w:bCs/>
          <w:sz w:val="22"/>
          <w:szCs w:val="22"/>
        </w:rPr>
      </w:pPr>
      <w:r w:rsidRPr="00CA1533">
        <w:rPr>
          <w:rFonts w:ascii="Palatino" w:hAnsi="Palatino"/>
          <w:sz w:val="22"/>
          <w:szCs w:val="22"/>
        </w:rPr>
        <w:tab/>
      </w:r>
      <w:r w:rsidR="00CA1533" w:rsidRPr="00CA1533">
        <w:rPr>
          <w:rFonts w:ascii="Palatino" w:hAnsi="Palatino"/>
          <w:b/>
          <w:bCs/>
          <w:sz w:val="22"/>
          <w:szCs w:val="22"/>
        </w:rPr>
        <w:t xml:space="preserve">[      </w:t>
      </w:r>
      <w:r w:rsidR="00CA1533" w:rsidRPr="00CA1533">
        <w:rPr>
          <w:rFonts w:ascii="Palatino" w:hAnsi="Palatino"/>
          <w:b/>
          <w:bCs/>
          <w:sz w:val="22"/>
          <w:szCs w:val="22"/>
        </w:rPr>
        <w:tab/>
        <w:t>]</w:t>
      </w:r>
      <w:r w:rsidR="00CA1533" w:rsidRPr="00CA1533">
        <w:rPr>
          <w:rFonts w:ascii="Palatino" w:hAnsi="Palatino"/>
          <w:b/>
          <w:bCs/>
          <w:sz w:val="22"/>
          <w:szCs w:val="22"/>
        </w:rPr>
        <w:tab/>
        <w:t>Resolution</w:t>
      </w:r>
      <w:r w:rsidR="00CA1533" w:rsidRPr="00CA1533">
        <w:rPr>
          <w:rFonts w:ascii="Palatino" w:hAnsi="Palatino"/>
          <w:b/>
          <w:bCs/>
          <w:sz w:val="22"/>
          <w:szCs w:val="22"/>
        </w:rPr>
        <w:tab/>
      </w:r>
      <w:r w:rsidR="00CA1533" w:rsidRPr="00CA1533">
        <w:rPr>
          <w:rFonts w:ascii="Palatino" w:hAnsi="Palatino"/>
          <w:b/>
          <w:bCs/>
          <w:sz w:val="22"/>
          <w:szCs w:val="22"/>
        </w:rPr>
        <w:tab/>
      </w:r>
      <w:r w:rsidRPr="00CA1533">
        <w:rPr>
          <w:rFonts w:ascii="Palatino" w:hAnsi="Palatino"/>
          <w:b/>
          <w:bCs/>
          <w:sz w:val="22"/>
          <w:szCs w:val="22"/>
        </w:rPr>
        <w:t>[    X</w:t>
      </w:r>
      <w:r w:rsidR="007863FB" w:rsidRPr="00CA1533">
        <w:rPr>
          <w:rFonts w:ascii="Palatino" w:hAnsi="Palatino"/>
          <w:b/>
          <w:bCs/>
          <w:sz w:val="22"/>
          <w:szCs w:val="22"/>
        </w:rPr>
        <w:t xml:space="preserve"> </w:t>
      </w:r>
      <w:r w:rsidR="00BF4EF4" w:rsidRPr="00CA1533">
        <w:rPr>
          <w:rFonts w:ascii="Palatino" w:hAnsi="Palatino"/>
          <w:b/>
          <w:bCs/>
          <w:sz w:val="22"/>
          <w:szCs w:val="22"/>
        </w:rPr>
        <w:t xml:space="preserve"> </w:t>
      </w:r>
      <w:r w:rsidRPr="00CA1533">
        <w:rPr>
          <w:rFonts w:ascii="Palatino" w:hAnsi="Palatino"/>
          <w:b/>
          <w:bCs/>
          <w:sz w:val="22"/>
          <w:szCs w:val="22"/>
        </w:rPr>
        <w:t xml:space="preserve">  ]  </w:t>
      </w:r>
      <w:r w:rsidRPr="00CA1533">
        <w:rPr>
          <w:rFonts w:ascii="Palatino" w:hAnsi="Palatino"/>
          <w:b/>
          <w:bCs/>
          <w:sz w:val="22"/>
          <w:szCs w:val="22"/>
        </w:rPr>
        <w:tab/>
        <w:t>Ordinance</w:t>
      </w:r>
    </w:p>
    <w:p w14:paraId="63FA3760" w14:textId="77777777" w:rsidR="00E157D1" w:rsidRPr="00CA1533" w:rsidRDefault="00E157D1" w:rsidP="00E157D1">
      <w:pPr>
        <w:rPr>
          <w:rFonts w:ascii="Palatino" w:hAnsi="Palatino"/>
          <w:b/>
          <w:bCs/>
          <w:sz w:val="22"/>
          <w:szCs w:val="22"/>
        </w:rPr>
      </w:pPr>
    </w:p>
    <w:p w14:paraId="112B4820" w14:textId="77777777" w:rsidR="00E157D1" w:rsidRPr="00CA1533" w:rsidRDefault="00E157D1" w:rsidP="00E157D1">
      <w:pPr>
        <w:rPr>
          <w:rFonts w:ascii="Palatino" w:hAnsi="Palatino"/>
          <w:b/>
          <w:bCs/>
          <w:sz w:val="22"/>
          <w:szCs w:val="22"/>
        </w:rPr>
      </w:pPr>
      <w:r w:rsidRPr="00CA1533">
        <w:rPr>
          <w:rFonts w:ascii="Palatino" w:hAnsi="Palatino"/>
          <w:b/>
          <w:bCs/>
          <w:sz w:val="22"/>
          <w:szCs w:val="22"/>
        </w:rPr>
        <w:tab/>
        <w:t xml:space="preserve">[     </w:t>
      </w:r>
      <w:r w:rsidRPr="00CA1533">
        <w:rPr>
          <w:rFonts w:ascii="Palatino" w:hAnsi="Palatino"/>
          <w:b/>
          <w:bCs/>
          <w:sz w:val="22"/>
          <w:szCs w:val="22"/>
        </w:rPr>
        <w:tab/>
        <w:t>]</w:t>
      </w:r>
      <w:r w:rsidRPr="00CA1533">
        <w:rPr>
          <w:rFonts w:ascii="Palatino" w:hAnsi="Palatino"/>
          <w:b/>
          <w:bCs/>
          <w:sz w:val="22"/>
          <w:szCs w:val="22"/>
        </w:rPr>
        <w:tab/>
        <w:t>Formal Action</w:t>
      </w:r>
      <w:r w:rsidRPr="00CA1533">
        <w:rPr>
          <w:rFonts w:ascii="Palatino" w:hAnsi="Palatino"/>
          <w:b/>
          <w:bCs/>
          <w:sz w:val="22"/>
          <w:szCs w:val="22"/>
        </w:rPr>
        <w:tab/>
      </w:r>
      <w:r w:rsidRPr="00CA1533">
        <w:rPr>
          <w:rFonts w:ascii="Palatino" w:hAnsi="Palatino"/>
          <w:b/>
          <w:bCs/>
          <w:sz w:val="22"/>
          <w:szCs w:val="22"/>
        </w:rPr>
        <w:tab/>
        <w:t xml:space="preserve">[ </w:t>
      </w:r>
      <w:r w:rsidRPr="00CA1533">
        <w:rPr>
          <w:rFonts w:ascii="Palatino" w:hAnsi="Palatino"/>
          <w:b/>
          <w:bCs/>
          <w:sz w:val="22"/>
          <w:szCs w:val="22"/>
        </w:rPr>
        <w:tab/>
        <w:t>]</w:t>
      </w:r>
      <w:r w:rsidRPr="00CA1533">
        <w:rPr>
          <w:rFonts w:ascii="Palatino" w:hAnsi="Palatino"/>
          <w:b/>
          <w:bCs/>
          <w:sz w:val="22"/>
          <w:szCs w:val="22"/>
        </w:rPr>
        <w:tab/>
        <w:t>Report Only</w:t>
      </w:r>
    </w:p>
    <w:p w14:paraId="447ABCD4" w14:textId="77777777" w:rsidR="00E157D1" w:rsidRPr="00CA1533" w:rsidRDefault="00E157D1" w:rsidP="00E157D1">
      <w:pPr>
        <w:rPr>
          <w:rFonts w:ascii="Palatino" w:hAnsi="Palatino"/>
          <w:sz w:val="22"/>
          <w:szCs w:val="22"/>
        </w:rPr>
      </w:pPr>
    </w:p>
    <w:p w14:paraId="33AAFC9D" w14:textId="77777777" w:rsidR="00E157D1" w:rsidRPr="00CA1533" w:rsidRDefault="00E157D1" w:rsidP="00E157D1">
      <w:pPr>
        <w:rPr>
          <w:rFonts w:ascii="Palatino" w:hAnsi="Palatino"/>
          <w:sz w:val="22"/>
          <w:szCs w:val="22"/>
        </w:rPr>
      </w:pPr>
      <w:r w:rsidRPr="00CA1533">
        <w:rPr>
          <w:rFonts w:ascii="Palatino" w:hAnsi="Palatino"/>
          <w:sz w:val="22"/>
          <w:szCs w:val="22"/>
        </w:rPr>
        <w:t>----------------------------------------------------------------------------------------------------------</w:t>
      </w:r>
    </w:p>
    <w:p w14:paraId="6E183EAE" w14:textId="77777777" w:rsidR="00E157D1" w:rsidRPr="00CA1533" w:rsidRDefault="00E157D1" w:rsidP="00E157D1">
      <w:pPr>
        <w:pStyle w:val="NoSpacing"/>
        <w:rPr>
          <w:rFonts w:ascii="Palatino" w:hAnsi="Palatino"/>
          <w:b/>
          <w:bCs/>
        </w:rPr>
      </w:pPr>
    </w:p>
    <w:p w14:paraId="6A1C8C04" w14:textId="4E8B88CA" w:rsidR="000F6F46" w:rsidRPr="00CA1533" w:rsidRDefault="00E157D1" w:rsidP="00037A5F">
      <w:pPr>
        <w:pStyle w:val="NoSpacing"/>
        <w:rPr>
          <w:rFonts w:ascii="Palatino" w:hAnsi="Palatino"/>
        </w:rPr>
      </w:pPr>
      <w:r w:rsidRPr="00CA1533">
        <w:rPr>
          <w:rFonts w:ascii="Palatino" w:hAnsi="Palatino"/>
          <w:b/>
          <w:bCs/>
        </w:rPr>
        <w:t>1.</w:t>
      </w:r>
      <w:r w:rsidRPr="00CA1533">
        <w:rPr>
          <w:rFonts w:ascii="Palatino" w:hAnsi="Palatino"/>
          <w:b/>
          <w:bCs/>
        </w:rPr>
        <w:tab/>
      </w:r>
      <w:r w:rsidR="00A87BD5">
        <w:rPr>
          <w:rFonts w:ascii="Palatino" w:hAnsi="Palatino"/>
          <w:b/>
          <w:bCs/>
        </w:rPr>
        <w:t xml:space="preserve">SUMMARY </w:t>
      </w:r>
      <w:r w:rsidR="00A87BD5" w:rsidRPr="00CA1533">
        <w:rPr>
          <w:rFonts w:ascii="Palatino" w:hAnsi="Palatino"/>
        </w:rPr>
        <w:t xml:space="preserve"> </w:t>
      </w:r>
    </w:p>
    <w:p w14:paraId="36B8BB2C" w14:textId="77777777" w:rsidR="00037A5F" w:rsidRPr="00CA1533" w:rsidRDefault="00037A5F" w:rsidP="00037A5F">
      <w:pPr>
        <w:pStyle w:val="NoSpacing"/>
        <w:rPr>
          <w:rFonts w:ascii="Palatino" w:hAnsi="Palatino"/>
        </w:rPr>
      </w:pPr>
    </w:p>
    <w:p w14:paraId="77B00CE3" w14:textId="30FC5722" w:rsidR="006036F6" w:rsidRPr="00CA1533" w:rsidRDefault="006036F6" w:rsidP="006036F6">
      <w:pPr>
        <w:pStyle w:val="NoSpacing"/>
        <w:ind w:left="720"/>
        <w:rPr>
          <w:rFonts w:ascii="Palatino" w:hAnsi="Palatino"/>
        </w:rPr>
      </w:pPr>
      <w:r w:rsidRPr="00CA1533">
        <w:rPr>
          <w:rFonts w:ascii="Palatino" w:hAnsi="Palatino"/>
        </w:rPr>
        <w:t>The City of John Day Development Code (the “Code”) currently contains enforcement provisions that are unclear, insufficient and difficult to enforce and administer. With increased rates of development in the City of John Day, and increased and/or more complex code enforcement cases, there is a need to refine the code enforcement provision of the Code. The City is proposing amendments to clarify compliance requirements, redefine violations as a violation rather than a criminal misdemeanor, create specific measures for resolving violations, and expand options for achieving compliance. The amendments also provide a definition for “Planning Official” that clarifies this role to include designees appointed by the City Manager to administer the Code.</w:t>
      </w:r>
    </w:p>
    <w:p w14:paraId="5BA78253" w14:textId="77777777" w:rsidR="00CA1533" w:rsidRPr="00CA1533" w:rsidRDefault="00CA1533" w:rsidP="006036F6">
      <w:pPr>
        <w:pStyle w:val="NoSpacing"/>
        <w:ind w:left="720"/>
        <w:rPr>
          <w:rFonts w:ascii="Palatino" w:hAnsi="Palatino"/>
        </w:rPr>
      </w:pPr>
    </w:p>
    <w:p w14:paraId="0942DC25" w14:textId="1E4D5C25" w:rsidR="008E67B1" w:rsidRPr="00CA1533" w:rsidRDefault="008E67B1" w:rsidP="00E157D1">
      <w:pPr>
        <w:rPr>
          <w:rFonts w:ascii="Palatino" w:hAnsi="Palatino"/>
          <w:b/>
          <w:bCs/>
          <w:sz w:val="22"/>
          <w:szCs w:val="22"/>
        </w:rPr>
      </w:pPr>
      <w:r w:rsidRPr="00CA1533">
        <w:rPr>
          <w:rFonts w:ascii="Palatino" w:hAnsi="Palatino"/>
          <w:b/>
          <w:bCs/>
          <w:sz w:val="22"/>
          <w:szCs w:val="22"/>
        </w:rPr>
        <w:lastRenderedPageBreak/>
        <w:t>2.</w:t>
      </w:r>
      <w:r w:rsidRPr="00CA1533">
        <w:rPr>
          <w:rFonts w:ascii="Palatino" w:hAnsi="Palatino"/>
          <w:b/>
          <w:bCs/>
          <w:sz w:val="22"/>
          <w:szCs w:val="22"/>
        </w:rPr>
        <w:tab/>
        <w:t>APPLICABLE CRITERIA</w:t>
      </w:r>
    </w:p>
    <w:p w14:paraId="3E820D84" w14:textId="77777777" w:rsidR="008E67B1" w:rsidRPr="00CA1533" w:rsidRDefault="008E67B1" w:rsidP="00E157D1">
      <w:pPr>
        <w:rPr>
          <w:rFonts w:ascii="Palatino" w:hAnsi="Palatino"/>
          <w:b/>
          <w:bCs/>
          <w:sz w:val="22"/>
          <w:szCs w:val="22"/>
        </w:rPr>
      </w:pPr>
    </w:p>
    <w:p w14:paraId="6AFAF609" w14:textId="73BADEAB" w:rsidR="008E67B1" w:rsidRDefault="00A87BD5" w:rsidP="00A87BD5">
      <w:pPr>
        <w:ind w:left="720"/>
        <w:rPr>
          <w:rFonts w:ascii="Palatino" w:hAnsi="Palatino"/>
          <w:bCs/>
          <w:sz w:val="22"/>
          <w:szCs w:val="22"/>
        </w:rPr>
      </w:pPr>
      <w:r w:rsidRPr="00A87BD5">
        <w:rPr>
          <w:rFonts w:ascii="Palatino" w:hAnsi="Palatino"/>
          <w:bCs/>
          <w:sz w:val="22"/>
          <w:szCs w:val="22"/>
        </w:rPr>
        <w:t>This request is a legislative amendment to the John Day Development Code. The applicable approval criteria are found in section 5-4.050, which incorporates compliance with Statewide Planning Goals and the John Day Comprehensive Plan.</w:t>
      </w:r>
    </w:p>
    <w:p w14:paraId="62FD4D11" w14:textId="77777777" w:rsidR="00A87BD5" w:rsidRPr="00C95A62" w:rsidRDefault="00A87BD5" w:rsidP="00A87BD5">
      <w:pPr>
        <w:ind w:left="720"/>
        <w:rPr>
          <w:b/>
          <w:bCs/>
          <w:szCs w:val="24"/>
        </w:rPr>
      </w:pPr>
    </w:p>
    <w:p w14:paraId="6090934B" w14:textId="1998F84E" w:rsidR="00E157D1" w:rsidRPr="00A87BD5" w:rsidRDefault="008E67B1" w:rsidP="00E157D1">
      <w:pPr>
        <w:rPr>
          <w:rFonts w:ascii="Palatino" w:hAnsi="Palatino"/>
          <w:b/>
          <w:bCs/>
          <w:sz w:val="22"/>
          <w:szCs w:val="24"/>
        </w:rPr>
      </w:pPr>
      <w:r w:rsidRPr="00C95A62">
        <w:rPr>
          <w:b/>
          <w:bCs/>
          <w:szCs w:val="24"/>
        </w:rPr>
        <w:t>3</w:t>
      </w:r>
      <w:r w:rsidR="00E157D1" w:rsidRPr="00C95A62">
        <w:rPr>
          <w:b/>
          <w:bCs/>
          <w:szCs w:val="24"/>
        </w:rPr>
        <w:t>.</w:t>
      </w:r>
      <w:r w:rsidR="00E157D1" w:rsidRPr="00C95A62">
        <w:rPr>
          <w:b/>
          <w:bCs/>
          <w:szCs w:val="24"/>
        </w:rPr>
        <w:tab/>
      </w:r>
      <w:r w:rsidRPr="00A87BD5">
        <w:rPr>
          <w:rFonts w:ascii="Palatino" w:hAnsi="Palatino"/>
          <w:b/>
          <w:bCs/>
          <w:sz w:val="22"/>
          <w:szCs w:val="24"/>
        </w:rPr>
        <w:t xml:space="preserve">PLANNING COMMISSION </w:t>
      </w:r>
      <w:r w:rsidR="00E157D1" w:rsidRPr="00A87BD5">
        <w:rPr>
          <w:rFonts w:ascii="Palatino" w:hAnsi="Palatino"/>
          <w:b/>
          <w:bCs/>
          <w:sz w:val="22"/>
          <w:szCs w:val="24"/>
        </w:rPr>
        <w:t>CONSIDERATIONS</w:t>
      </w:r>
    </w:p>
    <w:p w14:paraId="256F9EFB" w14:textId="77777777" w:rsidR="00E157D1" w:rsidRPr="00A87BD5" w:rsidRDefault="00E157D1" w:rsidP="00E157D1">
      <w:pPr>
        <w:rPr>
          <w:rFonts w:ascii="Palatino" w:hAnsi="Palatino"/>
          <w:sz w:val="22"/>
          <w:szCs w:val="24"/>
        </w:rPr>
      </w:pPr>
      <w:r w:rsidRPr="00A87BD5">
        <w:rPr>
          <w:rFonts w:ascii="Palatino" w:hAnsi="Palatino"/>
          <w:sz w:val="22"/>
          <w:szCs w:val="24"/>
        </w:rPr>
        <w:t xml:space="preserve">  </w:t>
      </w:r>
    </w:p>
    <w:p w14:paraId="4F762F24" w14:textId="66857E5F" w:rsidR="008A4E44" w:rsidRPr="00A87BD5" w:rsidRDefault="008E67B1" w:rsidP="005A6D4B">
      <w:pPr>
        <w:pStyle w:val="BodyTextIndent"/>
        <w:tabs>
          <w:tab w:val="clear" w:pos="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Palatino" w:hAnsi="Palatino" w:cs="Times New Roman"/>
          <w:sz w:val="22"/>
        </w:rPr>
      </w:pPr>
      <w:r w:rsidRPr="00A87BD5">
        <w:rPr>
          <w:rFonts w:ascii="Palatino" w:hAnsi="Palatino" w:cs="Times New Roman"/>
          <w:sz w:val="22"/>
        </w:rPr>
        <w:tab/>
      </w:r>
      <w:r w:rsidRPr="00A87BD5">
        <w:rPr>
          <w:rFonts w:ascii="Palatino" w:hAnsi="Palatino" w:cs="Times New Roman"/>
          <w:sz w:val="22"/>
        </w:rPr>
        <w:tab/>
        <w:t xml:space="preserve">The Planning Commission’s review must focus on the relevant code criteria and follow </w:t>
      </w:r>
      <w:r w:rsidR="004460C7" w:rsidRPr="00A87BD5">
        <w:rPr>
          <w:rFonts w:ascii="Palatino" w:hAnsi="Palatino" w:cs="Times New Roman"/>
          <w:sz w:val="22"/>
        </w:rPr>
        <w:tab/>
      </w:r>
      <w:r w:rsidRPr="00A87BD5">
        <w:rPr>
          <w:rFonts w:ascii="Palatino" w:hAnsi="Palatino" w:cs="Times New Roman"/>
          <w:sz w:val="22"/>
        </w:rPr>
        <w:t xml:space="preserve">the public hearing requirements for a </w:t>
      </w:r>
      <w:r w:rsidR="004460C7" w:rsidRPr="00A87BD5">
        <w:rPr>
          <w:rFonts w:ascii="Palatino" w:hAnsi="Palatino" w:cs="Times New Roman"/>
          <w:sz w:val="22"/>
        </w:rPr>
        <w:t>Type IV Legislative Amend</w:t>
      </w:r>
      <w:r w:rsidR="006B308C" w:rsidRPr="00A87BD5">
        <w:rPr>
          <w:rFonts w:ascii="Palatino" w:hAnsi="Palatino" w:cs="Times New Roman"/>
          <w:sz w:val="22"/>
        </w:rPr>
        <w:t>ment under section 5-</w:t>
      </w:r>
      <w:r w:rsidR="006B308C" w:rsidRPr="00A87BD5">
        <w:rPr>
          <w:rFonts w:ascii="Palatino" w:hAnsi="Palatino" w:cs="Times New Roman"/>
          <w:sz w:val="22"/>
        </w:rPr>
        <w:tab/>
        <w:t xml:space="preserve">4.7.020. </w:t>
      </w:r>
      <w:r w:rsidR="004460C7" w:rsidRPr="00A87BD5">
        <w:rPr>
          <w:rFonts w:ascii="Palatino" w:hAnsi="Palatino" w:cs="Times New Roman"/>
          <w:sz w:val="22"/>
        </w:rPr>
        <w:t xml:space="preserve">The Planning Commission should recommend the City Council approve the </w:t>
      </w:r>
      <w:r w:rsidR="004460C7" w:rsidRPr="00A87BD5">
        <w:rPr>
          <w:rFonts w:ascii="Palatino" w:hAnsi="Palatino" w:cs="Times New Roman"/>
          <w:sz w:val="22"/>
        </w:rPr>
        <w:tab/>
        <w:t xml:space="preserve">request if it conforms to the approval criteria.  </w:t>
      </w:r>
    </w:p>
    <w:p w14:paraId="0D7C0496" w14:textId="77777777" w:rsidR="00D37EAF" w:rsidRPr="00A87BD5" w:rsidRDefault="00D37EAF" w:rsidP="00D37EAF">
      <w:pPr>
        <w:pStyle w:val="BodyTextIndent"/>
        <w:tabs>
          <w:tab w:val="clear" w:pos="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Palatino" w:hAnsi="Palatino" w:cs="Times New Roman"/>
          <w:sz w:val="22"/>
        </w:rPr>
      </w:pPr>
    </w:p>
    <w:p w14:paraId="567C934C" w14:textId="612456D4" w:rsidR="00E157D1" w:rsidRPr="00A87BD5" w:rsidRDefault="004460C7" w:rsidP="00E157D1">
      <w:pPr>
        <w:rPr>
          <w:rFonts w:ascii="Palatino" w:hAnsi="Palatino"/>
          <w:b/>
          <w:bCs/>
          <w:sz w:val="22"/>
          <w:szCs w:val="24"/>
        </w:rPr>
      </w:pPr>
      <w:r w:rsidRPr="00A87BD5">
        <w:rPr>
          <w:rFonts w:ascii="Palatino" w:hAnsi="Palatino"/>
          <w:b/>
          <w:bCs/>
          <w:sz w:val="22"/>
          <w:szCs w:val="24"/>
        </w:rPr>
        <w:t>4</w:t>
      </w:r>
      <w:r w:rsidR="00E157D1" w:rsidRPr="00A87BD5">
        <w:rPr>
          <w:rFonts w:ascii="Palatino" w:hAnsi="Palatino"/>
          <w:b/>
          <w:bCs/>
          <w:sz w:val="22"/>
          <w:szCs w:val="24"/>
        </w:rPr>
        <w:t>.</w:t>
      </w:r>
      <w:r w:rsidR="00E157D1" w:rsidRPr="00A87BD5">
        <w:rPr>
          <w:rFonts w:ascii="Palatino" w:hAnsi="Palatino"/>
          <w:b/>
          <w:bCs/>
          <w:sz w:val="22"/>
          <w:szCs w:val="24"/>
        </w:rPr>
        <w:tab/>
        <w:t>STAFF RECOMMENDATION</w:t>
      </w:r>
    </w:p>
    <w:p w14:paraId="042BBC34" w14:textId="77777777" w:rsidR="00E157D1" w:rsidRPr="00A87BD5" w:rsidRDefault="00E157D1" w:rsidP="00E157D1">
      <w:pPr>
        <w:rPr>
          <w:rFonts w:ascii="Palatino" w:hAnsi="Palatino"/>
          <w:b/>
          <w:bCs/>
          <w:sz w:val="22"/>
          <w:szCs w:val="24"/>
        </w:rPr>
      </w:pPr>
    </w:p>
    <w:p w14:paraId="06247871" w14:textId="6B14CF6A" w:rsidR="00E157D1" w:rsidRPr="00A87BD5" w:rsidRDefault="00E157D1" w:rsidP="001D67C7">
      <w:pPr>
        <w:ind w:left="720"/>
        <w:rPr>
          <w:rFonts w:ascii="Palatino" w:hAnsi="Palatino"/>
          <w:b/>
          <w:sz w:val="22"/>
          <w:szCs w:val="24"/>
          <w:u w:val="single"/>
        </w:rPr>
      </w:pPr>
      <w:r w:rsidRPr="00A87BD5">
        <w:rPr>
          <w:rFonts w:ascii="Palatino" w:hAnsi="Palatino"/>
          <w:sz w:val="22"/>
          <w:szCs w:val="24"/>
        </w:rPr>
        <w:t xml:space="preserve">Staff recommends that the </w:t>
      </w:r>
      <w:r w:rsidR="008E67B1" w:rsidRPr="00A87BD5">
        <w:rPr>
          <w:rFonts w:ascii="Palatino" w:hAnsi="Palatino"/>
          <w:sz w:val="22"/>
          <w:szCs w:val="24"/>
        </w:rPr>
        <w:t xml:space="preserve">Planning Commission make a recommendation to the City Council to </w:t>
      </w:r>
      <w:r w:rsidR="008E67B1" w:rsidRPr="00A87BD5">
        <w:rPr>
          <w:rFonts w:ascii="Palatino" w:hAnsi="Palatino"/>
          <w:b/>
          <w:sz w:val="22"/>
          <w:szCs w:val="24"/>
          <w:u w:val="single"/>
        </w:rPr>
        <w:t xml:space="preserve">adopt </w:t>
      </w:r>
      <w:r w:rsidR="0064307E" w:rsidRPr="00A87BD5">
        <w:rPr>
          <w:rFonts w:ascii="Palatino" w:hAnsi="Palatino"/>
          <w:b/>
          <w:sz w:val="22"/>
          <w:szCs w:val="24"/>
          <w:u w:val="single"/>
        </w:rPr>
        <w:t>Ordinance 20-187</w:t>
      </w:r>
      <w:r w:rsidR="00D37EAF" w:rsidRPr="00A87BD5">
        <w:rPr>
          <w:rFonts w:ascii="Palatino" w:hAnsi="Palatino"/>
          <w:b/>
          <w:sz w:val="22"/>
          <w:szCs w:val="24"/>
          <w:u w:val="single"/>
        </w:rPr>
        <w:t>-0</w:t>
      </w:r>
      <w:r w:rsidR="0064307E" w:rsidRPr="00A87BD5">
        <w:rPr>
          <w:rFonts w:ascii="Palatino" w:hAnsi="Palatino"/>
          <w:b/>
          <w:sz w:val="22"/>
          <w:szCs w:val="24"/>
          <w:u w:val="single"/>
        </w:rPr>
        <w:t>8</w:t>
      </w:r>
      <w:r w:rsidR="00D37EAF" w:rsidRPr="00A87BD5">
        <w:rPr>
          <w:rFonts w:ascii="Palatino" w:hAnsi="Palatino"/>
          <w:b/>
          <w:sz w:val="22"/>
          <w:szCs w:val="24"/>
          <w:u w:val="single"/>
        </w:rPr>
        <w:t xml:space="preserve"> as presented</w:t>
      </w:r>
      <w:r w:rsidR="00BB5B1A" w:rsidRPr="00A87BD5">
        <w:rPr>
          <w:rFonts w:ascii="Palatino" w:hAnsi="Palatino"/>
          <w:b/>
          <w:sz w:val="22"/>
          <w:szCs w:val="24"/>
          <w:u w:val="single"/>
        </w:rPr>
        <w:t xml:space="preserve"> in Exhibit A,</w:t>
      </w:r>
      <w:r w:rsidR="00D37EAF" w:rsidRPr="00A87BD5">
        <w:rPr>
          <w:rFonts w:ascii="Palatino" w:hAnsi="Palatino"/>
          <w:sz w:val="22"/>
          <w:szCs w:val="24"/>
        </w:rPr>
        <w:t xml:space="preserve"> along with the findings in this report</w:t>
      </w:r>
      <w:r w:rsidR="00EB4817" w:rsidRPr="00A87BD5">
        <w:rPr>
          <w:rFonts w:ascii="Palatino" w:hAnsi="Palatino"/>
          <w:sz w:val="22"/>
          <w:szCs w:val="24"/>
        </w:rPr>
        <w:t>, subject to applicable comments submitted to the Planning Commission as part of the public hearing</w:t>
      </w:r>
      <w:r w:rsidR="00D37EAF" w:rsidRPr="00A87BD5">
        <w:rPr>
          <w:rFonts w:ascii="Palatino" w:hAnsi="Palatino"/>
          <w:sz w:val="22"/>
          <w:szCs w:val="24"/>
        </w:rPr>
        <w:t xml:space="preserve">. </w:t>
      </w:r>
    </w:p>
    <w:p w14:paraId="402D4877" w14:textId="77777777" w:rsidR="00E157D1" w:rsidRPr="00C95A62" w:rsidRDefault="00E157D1" w:rsidP="004460C7">
      <w:pPr>
        <w:ind w:left="1440"/>
        <w:rPr>
          <w:szCs w:val="24"/>
        </w:rPr>
      </w:pPr>
    </w:p>
    <w:p w14:paraId="7E82D3AF" w14:textId="19A067BD" w:rsidR="004460C7" w:rsidRPr="00A87BD5" w:rsidRDefault="004460C7" w:rsidP="00E157D1">
      <w:pPr>
        <w:pStyle w:val="NoSpacing"/>
        <w:rPr>
          <w:rFonts w:ascii="Palatino" w:hAnsi="Palatino"/>
          <w:b/>
          <w:szCs w:val="24"/>
        </w:rPr>
      </w:pPr>
      <w:r w:rsidRPr="00C95A62">
        <w:rPr>
          <w:rFonts w:ascii="Times New Roman" w:hAnsi="Times New Roman"/>
          <w:b/>
          <w:sz w:val="24"/>
          <w:szCs w:val="24"/>
        </w:rPr>
        <w:t>5.</w:t>
      </w:r>
      <w:r w:rsidRPr="00C95A62">
        <w:rPr>
          <w:rFonts w:ascii="Times New Roman" w:hAnsi="Times New Roman"/>
          <w:b/>
          <w:sz w:val="24"/>
          <w:szCs w:val="24"/>
        </w:rPr>
        <w:tab/>
      </w:r>
      <w:r w:rsidRPr="00A87BD5">
        <w:rPr>
          <w:rFonts w:ascii="Palatino" w:hAnsi="Palatino"/>
          <w:b/>
          <w:szCs w:val="24"/>
        </w:rPr>
        <w:t>PUBLIC NOTIFICATION</w:t>
      </w:r>
    </w:p>
    <w:p w14:paraId="7AF81090" w14:textId="39B88811" w:rsidR="004460C7" w:rsidRPr="00A87BD5" w:rsidRDefault="004460C7" w:rsidP="00E157D1">
      <w:pPr>
        <w:pStyle w:val="NoSpacing"/>
        <w:rPr>
          <w:rFonts w:ascii="Palatino" w:hAnsi="Palatino"/>
          <w:b/>
          <w:szCs w:val="24"/>
        </w:rPr>
      </w:pPr>
      <w:r w:rsidRPr="00A87BD5">
        <w:rPr>
          <w:rFonts w:ascii="Palatino" w:hAnsi="Palatino"/>
          <w:b/>
          <w:szCs w:val="24"/>
        </w:rPr>
        <w:tab/>
      </w:r>
    </w:p>
    <w:p w14:paraId="7748B5CF" w14:textId="509C6208" w:rsidR="004460C7" w:rsidRPr="00A87BD5" w:rsidRDefault="004460C7" w:rsidP="008E70B4">
      <w:pPr>
        <w:pStyle w:val="NoSpacing"/>
        <w:ind w:left="720"/>
        <w:rPr>
          <w:rFonts w:ascii="Palatino" w:eastAsia="Times New Roman" w:hAnsi="Palatino"/>
          <w:szCs w:val="24"/>
        </w:rPr>
      </w:pPr>
      <w:r w:rsidRPr="00F60F0E">
        <w:rPr>
          <w:rFonts w:ascii="Palatino" w:eastAsia="Times New Roman" w:hAnsi="Palatino"/>
          <w:szCs w:val="24"/>
        </w:rPr>
        <w:t xml:space="preserve">The City of John Day mailed </w:t>
      </w:r>
      <w:r w:rsidR="00E90998" w:rsidRPr="00F60F0E">
        <w:rPr>
          <w:rFonts w:ascii="Palatino" w:eastAsia="Times New Roman" w:hAnsi="Palatino"/>
          <w:szCs w:val="24"/>
        </w:rPr>
        <w:t>public</w:t>
      </w:r>
      <w:r w:rsidRPr="00F60F0E">
        <w:rPr>
          <w:rFonts w:ascii="Palatino" w:eastAsia="Times New Roman" w:hAnsi="Palatino"/>
          <w:szCs w:val="24"/>
        </w:rPr>
        <w:t xml:space="preserve"> notice to all affected property owners </w:t>
      </w:r>
      <w:r w:rsidR="00F60F0E">
        <w:rPr>
          <w:rFonts w:ascii="Palatino" w:eastAsia="Times New Roman" w:hAnsi="Palatino"/>
          <w:szCs w:val="24"/>
        </w:rPr>
        <w:t xml:space="preserve">prior to the </w:t>
      </w:r>
      <w:r w:rsidR="003C6693">
        <w:rPr>
          <w:rFonts w:ascii="Palatino" w:eastAsia="Times New Roman" w:hAnsi="Palatino"/>
          <w:szCs w:val="24"/>
        </w:rPr>
        <w:t>previous</w:t>
      </w:r>
      <w:r w:rsidR="00F60F0E">
        <w:rPr>
          <w:rFonts w:ascii="Palatino" w:eastAsia="Times New Roman" w:hAnsi="Palatino"/>
          <w:szCs w:val="24"/>
        </w:rPr>
        <w:t xml:space="preserve"> hearings on this matter. Because a continuance was granted by the City Council on February 23, 2021 to a specified date and time, no </w:t>
      </w:r>
      <w:r w:rsidR="00C94879">
        <w:rPr>
          <w:rFonts w:ascii="Palatino" w:eastAsia="Times New Roman" w:hAnsi="Palatino"/>
          <w:szCs w:val="24"/>
        </w:rPr>
        <w:t>additional notices are required</w:t>
      </w:r>
      <w:r w:rsidRPr="00A87BD5">
        <w:rPr>
          <w:rFonts w:ascii="Palatino" w:eastAsia="Times New Roman" w:hAnsi="Palatino"/>
          <w:szCs w:val="24"/>
        </w:rPr>
        <w:t>.</w:t>
      </w:r>
      <w:r w:rsidR="006B7E56" w:rsidRPr="00A87BD5">
        <w:rPr>
          <w:rFonts w:ascii="Palatino" w:eastAsia="Times New Roman" w:hAnsi="Palatino"/>
          <w:szCs w:val="24"/>
        </w:rPr>
        <w:t xml:space="preserve"> Staff reports were made available for public inspection on </w:t>
      </w:r>
      <w:r w:rsidR="00F60F0E">
        <w:rPr>
          <w:rFonts w:ascii="Palatino" w:eastAsia="Times New Roman" w:hAnsi="Palatino"/>
          <w:szCs w:val="24"/>
        </w:rPr>
        <w:t>March 31</w:t>
      </w:r>
      <w:r w:rsidR="006B7E56" w:rsidRPr="00F60F0E">
        <w:rPr>
          <w:rFonts w:ascii="Palatino" w:eastAsia="Times New Roman" w:hAnsi="Palatino"/>
          <w:szCs w:val="24"/>
        </w:rPr>
        <w:t>—seven</w:t>
      </w:r>
      <w:r w:rsidR="00C94879">
        <w:rPr>
          <w:rFonts w:ascii="Palatino" w:eastAsia="Times New Roman" w:hAnsi="Palatino"/>
          <w:szCs w:val="24"/>
        </w:rPr>
        <w:t xml:space="preserve"> days prior to the hearing date and sent to participants. </w:t>
      </w:r>
    </w:p>
    <w:p w14:paraId="092161D9" w14:textId="131DF61E" w:rsidR="00A87BD5" w:rsidRPr="00A87BD5" w:rsidRDefault="00A87BD5" w:rsidP="008E70B4">
      <w:pPr>
        <w:pStyle w:val="NoSpacing"/>
        <w:ind w:left="720"/>
        <w:rPr>
          <w:rFonts w:ascii="Palatino" w:eastAsia="Times New Roman" w:hAnsi="Palatino"/>
          <w:szCs w:val="24"/>
        </w:rPr>
      </w:pPr>
    </w:p>
    <w:p w14:paraId="7F77A43A" w14:textId="13208C6B" w:rsidR="00A87BD5" w:rsidRPr="00A87BD5" w:rsidRDefault="00A87BD5" w:rsidP="00A87BD5">
      <w:pPr>
        <w:pStyle w:val="NoSpacing"/>
        <w:rPr>
          <w:rFonts w:ascii="Palatino" w:eastAsia="Times New Roman" w:hAnsi="Palatino"/>
          <w:b/>
          <w:szCs w:val="24"/>
        </w:rPr>
      </w:pPr>
      <w:r w:rsidRPr="00A87BD5">
        <w:rPr>
          <w:rFonts w:ascii="Palatino" w:eastAsia="Times New Roman" w:hAnsi="Palatino"/>
          <w:b/>
          <w:szCs w:val="24"/>
        </w:rPr>
        <w:t xml:space="preserve">6. </w:t>
      </w:r>
      <w:r w:rsidRPr="00A87BD5">
        <w:rPr>
          <w:rFonts w:ascii="Palatino" w:eastAsia="Times New Roman" w:hAnsi="Palatino"/>
          <w:b/>
          <w:szCs w:val="24"/>
        </w:rPr>
        <w:tab/>
        <w:t>BACKGROUND AND</w:t>
      </w:r>
      <w:r w:rsidR="003D17E0">
        <w:rPr>
          <w:rFonts w:ascii="Palatino" w:eastAsia="Times New Roman" w:hAnsi="Palatino"/>
          <w:b/>
          <w:szCs w:val="24"/>
        </w:rPr>
        <w:t xml:space="preserve"> STAFF</w:t>
      </w:r>
      <w:r w:rsidRPr="00A87BD5">
        <w:rPr>
          <w:rFonts w:ascii="Palatino" w:eastAsia="Times New Roman" w:hAnsi="Palatino"/>
          <w:b/>
          <w:szCs w:val="24"/>
        </w:rPr>
        <w:t xml:space="preserve"> </w:t>
      </w:r>
      <w:r>
        <w:rPr>
          <w:rFonts w:ascii="Palatino" w:eastAsia="Times New Roman" w:hAnsi="Palatino"/>
          <w:b/>
          <w:szCs w:val="24"/>
        </w:rPr>
        <w:t>CHANGES</w:t>
      </w:r>
      <w:bookmarkStart w:id="0" w:name="_GoBack"/>
      <w:bookmarkEnd w:id="0"/>
    </w:p>
    <w:p w14:paraId="0CB2E398" w14:textId="0A5DD786" w:rsidR="00610A66" w:rsidRPr="00C95A62" w:rsidRDefault="00610A66" w:rsidP="00C95A62">
      <w:pPr>
        <w:pStyle w:val="NoSpacing"/>
        <w:rPr>
          <w:rFonts w:ascii="Times New Roman" w:eastAsia="Times New Roman" w:hAnsi="Times New Roman"/>
          <w:sz w:val="24"/>
          <w:szCs w:val="24"/>
        </w:rPr>
      </w:pPr>
    </w:p>
    <w:p w14:paraId="286D8973" w14:textId="4B80A59E" w:rsidR="003D17E0" w:rsidRDefault="003D17E0" w:rsidP="00FA634B">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After the Planning commission recommended a prior version of this ordinance to the City Council for adoption on January 12, several changes were discussed among the councilors for revision- these changes are discussed in more detail below. As staff re-worked the </w:t>
      </w:r>
      <w:r w:rsidR="00183A72">
        <w:rPr>
          <w:rFonts w:ascii="Times New Roman" w:eastAsia="Times New Roman" w:hAnsi="Times New Roman"/>
          <w:sz w:val="24"/>
          <w:szCs w:val="24"/>
        </w:rPr>
        <w:t xml:space="preserve">ordinance </w:t>
      </w:r>
      <w:r>
        <w:rPr>
          <w:rFonts w:ascii="Times New Roman" w:eastAsia="Times New Roman" w:hAnsi="Times New Roman"/>
          <w:sz w:val="24"/>
          <w:szCs w:val="24"/>
        </w:rPr>
        <w:t>the cha</w:t>
      </w:r>
      <w:r w:rsidR="00706D8E">
        <w:rPr>
          <w:rFonts w:ascii="Times New Roman" w:eastAsia="Times New Roman" w:hAnsi="Times New Roman"/>
          <w:sz w:val="24"/>
          <w:szCs w:val="24"/>
        </w:rPr>
        <w:t>nges became more expansive, and</w:t>
      </w:r>
      <w:r w:rsidR="00183A72">
        <w:rPr>
          <w:rFonts w:ascii="Times New Roman" w:eastAsia="Times New Roman" w:hAnsi="Times New Roman"/>
          <w:sz w:val="24"/>
          <w:szCs w:val="24"/>
        </w:rPr>
        <w:t xml:space="preserve"> staff recommended that the new version be remanded back to the planning commission for recommendation once more. </w:t>
      </w:r>
      <w:r w:rsidR="00706D8E">
        <w:rPr>
          <w:rFonts w:ascii="Times New Roman" w:eastAsia="Times New Roman" w:hAnsi="Times New Roman"/>
          <w:sz w:val="24"/>
          <w:szCs w:val="24"/>
        </w:rPr>
        <w:t xml:space="preserve">On </w:t>
      </w:r>
      <w:r w:rsidR="00C94879">
        <w:rPr>
          <w:rFonts w:ascii="Times New Roman" w:eastAsia="Times New Roman" w:hAnsi="Times New Roman"/>
          <w:sz w:val="24"/>
          <w:szCs w:val="24"/>
        </w:rPr>
        <w:t>Tuesday, February</w:t>
      </w:r>
      <w:r w:rsidR="00183A72">
        <w:rPr>
          <w:rFonts w:ascii="Times New Roman" w:eastAsia="Times New Roman" w:hAnsi="Times New Roman"/>
          <w:sz w:val="24"/>
          <w:szCs w:val="24"/>
        </w:rPr>
        <w:t xml:space="preserve"> 23</w:t>
      </w:r>
      <w:r w:rsidR="00183A72" w:rsidRPr="00183A72">
        <w:rPr>
          <w:rFonts w:ascii="Times New Roman" w:eastAsia="Times New Roman" w:hAnsi="Times New Roman"/>
          <w:sz w:val="24"/>
          <w:szCs w:val="24"/>
          <w:vertAlign w:val="superscript"/>
        </w:rPr>
        <w:t>rd</w:t>
      </w:r>
      <w:r w:rsidR="00706D8E">
        <w:rPr>
          <w:rFonts w:ascii="Times New Roman" w:eastAsia="Times New Roman" w:hAnsi="Times New Roman"/>
          <w:sz w:val="24"/>
          <w:szCs w:val="24"/>
        </w:rPr>
        <w:t xml:space="preserve">, The City Council voted to remand the amendments to the planning commission on </w:t>
      </w:r>
      <w:r w:rsidR="00183A72">
        <w:rPr>
          <w:rFonts w:ascii="Times New Roman" w:eastAsia="Times New Roman" w:hAnsi="Times New Roman"/>
          <w:sz w:val="24"/>
          <w:szCs w:val="24"/>
        </w:rPr>
        <w:t xml:space="preserve">for further review. </w:t>
      </w:r>
    </w:p>
    <w:p w14:paraId="7115BB5E" w14:textId="77777777" w:rsidR="003D17E0" w:rsidRDefault="003D17E0" w:rsidP="00FA634B">
      <w:pPr>
        <w:pStyle w:val="NoSpacing"/>
        <w:ind w:left="720"/>
        <w:rPr>
          <w:rFonts w:ascii="Times New Roman" w:eastAsia="Times New Roman" w:hAnsi="Times New Roman"/>
          <w:sz w:val="24"/>
          <w:szCs w:val="24"/>
        </w:rPr>
      </w:pPr>
    </w:p>
    <w:p w14:paraId="767A893F" w14:textId="3E84CEF5" w:rsidR="003D17E0" w:rsidRDefault="003D17E0" w:rsidP="00FA634B">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Set out below are the </w:t>
      </w:r>
      <w:r w:rsidR="00183A72">
        <w:rPr>
          <w:rFonts w:ascii="Times New Roman" w:eastAsia="Times New Roman" w:hAnsi="Times New Roman"/>
          <w:sz w:val="24"/>
          <w:szCs w:val="24"/>
        </w:rPr>
        <w:t xml:space="preserve">primary issues brought forth for further </w:t>
      </w:r>
      <w:r w:rsidR="00706D8E">
        <w:rPr>
          <w:rFonts w:ascii="Times New Roman" w:eastAsia="Times New Roman" w:hAnsi="Times New Roman"/>
          <w:sz w:val="24"/>
          <w:szCs w:val="24"/>
        </w:rPr>
        <w:t>discussion.</w:t>
      </w:r>
      <w:r w:rsidR="00183A72">
        <w:rPr>
          <w:rFonts w:ascii="Times New Roman" w:eastAsia="Times New Roman" w:hAnsi="Times New Roman"/>
          <w:sz w:val="24"/>
          <w:szCs w:val="24"/>
        </w:rPr>
        <w:t xml:space="preserve">  </w:t>
      </w:r>
    </w:p>
    <w:p w14:paraId="752F6838" w14:textId="403A877C" w:rsidR="00931D2E" w:rsidRDefault="00931D2E" w:rsidP="00FA634B">
      <w:pPr>
        <w:pStyle w:val="NoSpacing"/>
        <w:ind w:left="720"/>
        <w:rPr>
          <w:rFonts w:ascii="Times New Roman" w:eastAsia="Times New Roman" w:hAnsi="Times New Roman"/>
          <w:sz w:val="24"/>
          <w:szCs w:val="24"/>
        </w:rPr>
      </w:pPr>
    </w:p>
    <w:p w14:paraId="1503FAA9" w14:textId="274312B0" w:rsidR="00172F31" w:rsidRDefault="00931D2E" w:rsidP="00172F31">
      <w:pPr>
        <w:pStyle w:val="NoSpacing"/>
        <w:numPr>
          <w:ilvl w:val="0"/>
          <w:numId w:val="16"/>
        </w:numPr>
        <w:rPr>
          <w:rFonts w:ascii="Times New Roman" w:eastAsia="Times New Roman" w:hAnsi="Times New Roman"/>
          <w:sz w:val="24"/>
          <w:szCs w:val="24"/>
        </w:rPr>
      </w:pPr>
      <w:r w:rsidRPr="00E32755">
        <w:rPr>
          <w:rFonts w:ascii="Times New Roman" w:eastAsia="Times New Roman" w:hAnsi="Times New Roman"/>
          <w:sz w:val="24"/>
          <w:szCs w:val="24"/>
        </w:rPr>
        <w:t>Riverside Home Park (“Riverside”) expressed concern regarding proposed la</w:t>
      </w:r>
      <w:r w:rsidR="00E32755" w:rsidRPr="00E32755">
        <w:rPr>
          <w:rFonts w:ascii="Times New Roman" w:eastAsia="Times New Roman" w:hAnsi="Times New Roman"/>
          <w:sz w:val="24"/>
          <w:szCs w:val="24"/>
        </w:rPr>
        <w:t xml:space="preserve">nguage </w:t>
      </w:r>
      <w:r w:rsidR="00E32755">
        <w:rPr>
          <w:rFonts w:ascii="Times New Roman" w:eastAsia="Times New Roman" w:hAnsi="Times New Roman"/>
          <w:sz w:val="24"/>
          <w:szCs w:val="24"/>
        </w:rPr>
        <w:t>which</w:t>
      </w:r>
      <w:r w:rsidR="00E32755" w:rsidRPr="00E32755">
        <w:rPr>
          <w:rFonts w:ascii="Times New Roman" w:eastAsia="Times New Roman" w:hAnsi="Times New Roman"/>
          <w:sz w:val="24"/>
          <w:szCs w:val="24"/>
        </w:rPr>
        <w:t xml:space="preserve"> established that Code Violations could be addressed as a public nuisance. The proposed language would</w:t>
      </w:r>
      <w:r w:rsidR="00E32755">
        <w:rPr>
          <w:rFonts w:ascii="Times New Roman" w:eastAsia="Times New Roman" w:hAnsi="Times New Roman"/>
          <w:sz w:val="24"/>
          <w:szCs w:val="24"/>
        </w:rPr>
        <w:t xml:space="preserve"> have</w:t>
      </w:r>
      <w:r w:rsidR="00E32755" w:rsidRPr="00E32755">
        <w:rPr>
          <w:rFonts w:ascii="Times New Roman" w:eastAsia="Times New Roman" w:hAnsi="Times New Roman"/>
          <w:sz w:val="24"/>
          <w:szCs w:val="24"/>
        </w:rPr>
        <w:t xml:space="preserve"> allow</w:t>
      </w:r>
      <w:r w:rsidR="00E32755">
        <w:rPr>
          <w:rFonts w:ascii="Times New Roman" w:eastAsia="Times New Roman" w:hAnsi="Times New Roman"/>
          <w:sz w:val="24"/>
          <w:szCs w:val="24"/>
        </w:rPr>
        <w:t>ed</w:t>
      </w:r>
      <w:r w:rsidR="00E32755" w:rsidRPr="00E32755">
        <w:rPr>
          <w:rFonts w:ascii="Times New Roman" w:eastAsia="Times New Roman" w:hAnsi="Times New Roman"/>
          <w:sz w:val="24"/>
          <w:szCs w:val="24"/>
        </w:rPr>
        <w:t xml:space="preserve"> the City to use the existing abatement procedures </w:t>
      </w:r>
      <w:r w:rsidR="00E32755">
        <w:rPr>
          <w:rFonts w:ascii="Times New Roman" w:eastAsia="Times New Roman" w:hAnsi="Times New Roman"/>
          <w:sz w:val="24"/>
          <w:szCs w:val="24"/>
        </w:rPr>
        <w:t>ad</w:t>
      </w:r>
      <w:r w:rsidR="00E32755" w:rsidRPr="00E32755">
        <w:rPr>
          <w:rFonts w:ascii="Times New Roman" w:eastAsia="Times New Roman" w:hAnsi="Times New Roman"/>
          <w:sz w:val="24"/>
          <w:szCs w:val="24"/>
        </w:rPr>
        <w:t xml:space="preserve">opted under </w:t>
      </w:r>
      <w:r w:rsidR="003C6693" w:rsidRPr="00E32755">
        <w:rPr>
          <w:rFonts w:ascii="Times New Roman" w:eastAsia="Times New Roman" w:hAnsi="Times New Roman"/>
          <w:sz w:val="24"/>
          <w:szCs w:val="24"/>
        </w:rPr>
        <w:t>Title</w:t>
      </w:r>
      <w:r w:rsidR="00E32755" w:rsidRPr="00E32755">
        <w:rPr>
          <w:rFonts w:ascii="Times New Roman" w:eastAsia="Times New Roman" w:hAnsi="Times New Roman"/>
          <w:sz w:val="24"/>
          <w:szCs w:val="24"/>
        </w:rPr>
        <w:t xml:space="preserve"> 8, Chapter 2 of the John Day Municipal Coed (i.e.</w:t>
      </w:r>
      <w:r w:rsidR="00E32755">
        <w:rPr>
          <w:rFonts w:ascii="Times New Roman" w:eastAsia="Times New Roman" w:hAnsi="Times New Roman"/>
          <w:sz w:val="24"/>
          <w:szCs w:val="24"/>
        </w:rPr>
        <w:t xml:space="preserve"> the Nuisance Ordinance) to address Code Violations. The City Council suggested that a separate set of abatement procedures should be created specifically to address development code violations to </w:t>
      </w:r>
      <w:r w:rsidR="00C321BC">
        <w:rPr>
          <w:rFonts w:ascii="Times New Roman" w:eastAsia="Times New Roman" w:hAnsi="Times New Roman"/>
          <w:sz w:val="24"/>
          <w:szCs w:val="24"/>
        </w:rPr>
        <w:t>avoid linking the two sections, so this provision has been removed in the cu</w:t>
      </w:r>
      <w:r w:rsidR="00706D8E">
        <w:rPr>
          <w:rFonts w:ascii="Times New Roman" w:eastAsia="Times New Roman" w:hAnsi="Times New Roman"/>
          <w:sz w:val="24"/>
          <w:szCs w:val="24"/>
        </w:rPr>
        <w:t xml:space="preserve">rrent version of the ordinance. After considering several </w:t>
      </w:r>
      <w:r w:rsidR="00706D8E">
        <w:rPr>
          <w:rFonts w:ascii="Times New Roman" w:eastAsia="Times New Roman" w:hAnsi="Times New Roman"/>
          <w:sz w:val="24"/>
          <w:szCs w:val="24"/>
        </w:rPr>
        <w:lastRenderedPageBreak/>
        <w:t xml:space="preserve">options, staff is recommending that the abatement procedures be removed altogether. Abatement of development code violations has proved </w:t>
      </w:r>
      <w:r w:rsidR="00452E4D">
        <w:rPr>
          <w:rFonts w:ascii="Times New Roman" w:eastAsia="Times New Roman" w:hAnsi="Times New Roman"/>
          <w:sz w:val="24"/>
          <w:szCs w:val="24"/>
        </w:rPr>
        <w:t xml:space="preserve">to be costly and ineffective, as well as difficult to administer with consistency. The Amendments will </w:t>
      </w:r>
      <w:r w:rsidR="00B93A82">
        <w:rPr>
          <w:rFonts w:ascii="Times New Roman" w:eastAsia="Times New Roman" w:hAnsi="Times New Roman"/>
          <w:sz w:val="24"/>
          <w:szCs w:val="24"/>
        </w:rPr>
        <w:t xml:space="preserve">require </w:t>
      </w:r>
      <w:proofErr w:type="spellStart"/>
      <w:r w:rsidR="00B93A82">
        <w:rPr>
          <w:rFonts w:ascii="Times New Roman" w:eastAsia="Times New Roman" w:hAnsi="Times New Roman"/>
          <w:sz w:val="24"/>
          <w:szCs w:val="24"/>
        </w:rPr>
        <w:t>alledged</w:t>
      </w:r>
      <w:proofErr w:type="spellEnd"/>
      <w:r w:rsidR="00B93A82">
        <w:rPr>
          <w:rFonts w:ascii="Times New Roman" w:eastAsia="Times New Roman" w:hAnsi="Times New Roman"/>
          <w:sz w:val="24"/>
          <w:szCs w:val="24"/>
        </w:rPr>
        <w:t xml:space="preserve"> violators to either correct development code violations or file an appeal through the existing land-use appeals process provided in the code. </w:t>
      </w:r>
    </w:p>
    <w:p w14:paraId="7E0096D7" w14:textId="77777777" w:rsidR="00C321BC" w:rsidRPr="00131B7B" w:rsidRDefault="00C321BC" w:rsidP="00C321BC">
      <w:pPr>
        <w:pStyle w:val="NoSpacing"/>
        <w:ind w:left="1080"/>
        <w:rPr>
          <w:rFonts w:ascii="Times New Roman" w:eastAsia="Times New Roman" w:hAnsi="Times New Roman"/>
          <w:sz w:val="24"/>
          <w:szCs w:val="24"/>
        </w:rPr>
      </w:pPr>
    </w:p>
    <w:p w14:paraId="73A7E59D" w14:textId="5D7FC0E1" w:rsidR="00172F31" w:rsidRPr="00C321BC" w:rsidRDefault="00172F31" w:rsidP="00172F31">
      <w:pPr>
        <w:pStyle w:val="NoSpacing"/>
        <w:numPr>
          <w:ilvl w:val="0"/>
          <w:numId w:val="16"/>
        </w:numPr>
        <w:rPr>
          <w:rFonts w:ascii="Times New Roman" w:eastAsia="Times New Roman" w:hAnsi="Times New Roman"/>
          <w:sz w:val="24"/>
          <w:szCs w:val="24"/>
          <w:u w:val="single"/>
        </w:rPr>
      </w:pPr>
      <w:r w:rsidRPr="00172F31">
        <w:rPr>
          <w:rFonts w:ascii="Times New Roman" w:eastAsia="Times New Roman" w:hAnsi="Times New Roman"/>
          <w:sz w:val="24"/>
          <w:szCs w:val="24"/>
          <w:u w:val="single"/>
        </w:rPr>
        <w:t xml:space="preserve">Section </w:t>
      </w:r>
      <w:proofErr w:type="gramStart"/>
      <w:r w:rsidRPr="00172F31">
        <w:rPr>
          <w:rFonts w:ascii="Times New Roman" w:eastAsia="Times New Roman" w:hAnsi="Times New Roman"/>
          <w:sz w:val="24"/>
          <w:szCs w:val="24"/>
          <w:u w:val="single"/>
        </w:rPr>
        <w:t>B(</w:t>
      </w:r>
      <w:proofErr w:type="gramEnd"/>
      <w:r w:rsidRPr="00172F31">
        <w:rPr>
          <w:rFonts w:ascii="Times New Roman" w:eastAsia="Times New Roman" w:hAnsi="Times New Roman"/>
          <w:sz w:val="24"/>
          <w:szCs w:val="24"/>
          <w:u w:val="single"/>
        </w:rPr>
        <w:t>2).</w:t>
      </w:r>
      <w:r>
        <w:rPr>
          <w:rFonts w:ascii="Times New Roman" w:eastAsia="Times New Roman" w:hAnsi="Times New Roman"/>
          <w:sz w:val="24"/>
          <w:szCs w:val="24"/>
        </w:rPr>
        <w:t xml:space="preserve"> The phrase “to the best of the applicant’s knowledge” has been removed </w:t>
      </w:r>
      <w:r w:rsidR="00706D8E">
        <w:rPr>
          <w:rFonts w:ascii="Times New Roman" w:eastAsia="Times New Roman" w:hAnsi="Times New Roman"/>
          <w:sz w:val="24"/>
          <w:szCs w:val="24"/>
        </w:rPr>
        <w:t xml:space="preserve">from provision </w:t>
      </w:r>
      <w:r w:rsidR="00706D8E">
        <w:rPr>
          <w:rFonts w:ascii="Times New Roman" w:eastAsia="Times New Roman" w:hAnsi="Times New Roman"/>
          <w:i/>
          <w:sz w:val="24"/>
          <w:szCs w:val="24"/>
        </w:rPr>
        <w:t>a</w:t>
      </w:r>
      <w:r>
        <w:rPr>
          <w:rFonts w:ascii="Times New Roman" w:eastAsia="Times New Roman" w:hAnsi="Times New Roman"/>
          <w:sz w:val="24"/>
          <w:szCs w:val="24"/>
        </w:rPr>
        <w:t xml:space="preserve"> to shift the burden of proof to the applicant to verify compliance with the Code. </w:t>
      </w:r>
    </w:p>
    <w:p w14:paraId="1D2C9F3B" w14:textId="77777777" w:rsidR="00C321BC" w:rsidRDefault="00C321BC" w:rsidP="00C321BC">
      <w:pPr>
        <w:pStyle w:val="ListParagraph"/>
        <w:rPr>
          <w:szCs w:val="24"/>
          <w:u w:val="single"/>
        </w:rPr>
      </w:pPr>
    </w:p>
    <w:p w14:paraId="2D6E020B" w14:textId="5E533FB9" w:rsidR="00C321BC" w:rsidRPr="00172F31" w:rsidRDefault="00C321BC" w:rsidP="00172F31">
      <w:pPr>
        <w:pStyle w:val="NoSpacing"/>
        <w:numPr>
          <w:ilvl w:val="0"/>
          <w:numId w:val="16"/>
        </w:numPr>
        <w:rPr>
          <w:rFonts w:ascii="Times New Roman" w:eastAsia="Times New Roman" w:hAnsi="Times New Roman"/>
          <w:sz w:val="24"/>
          <w:szCs w:val="24"/>
          <w:u w:val="single"/>
        </w:rPr>
      </w:pPr>
      <w:r>
        <w:rPr>
          <w:rFonts w:ascii="Times New Roman" w:eastAsia="Times New Roman" w:hAnsi="Times New Roman"/>
          <w:sz w:val="24"/>
          <w:szCs w:val="24"/>
          <w:u w:val="single"/>
        </w:rPr>
        <w:t xml:space="preserve">Section </w:t>
      </w:r>
      <w:proofErr w:type="gramStart"/>
      <w:r>
        <w:rPr>
          <w:rFonts w:ascii="Times New Roman" w:eastAsia="Times New Roman" w:hAnsi="Times New Roman"/>
          <w:sz w:val="24"/>
          <w:szCs w:val="24"/>
          <w:u w:val="single"/>
        </w:rPr>
        <w:t>B(</w:t>
      </w:r>
      <w:proofErr w:type="gramEnd"/>
      <w:r>
        <w:rPr>
          <w:rFonts w:ascii="Times New Roman" w:eastAsia="Times New Roman" w:hAnsi="Times New Roman"/>
          <w:sz w:val="24"/>
          <w:szCs w:val="24"/>
          <w:u w:val="single"/>
        </w:rPr>
        <w:t>3).</w:t>
      </w:r>
      <w:r>
        <w:rPr>
          <w:rFonts w:ascii="Times New Roman" w:eastAsia="Times New Roman" w:hAnsi="Times New Roman"/>
          <w:sz w:val="24"/>
          <w:szCs w:val="24"/>
        </w:rPr>
        <w:t xml:space="preserve"> “Prior notice” has been removed at Riverside’s request as a determination of a violation of the Code. </w:t>
      </w:r>
    </w:p>
    <w:p w14:paraId="0858F3EE" w14:textId="77777777" w:rsidR="003C58E5" w:rsidRPr="003C58E5" w:rsidRDefault="003C58E5" w:rsidP="003C58E5">
      <w:pPr>
        <w:pStyle w:val="NoSpacing"/>
        <w:rPr>
          <w:rFonts w:ascii="Times New Roman" w:eastAsia="Times New Roman" w:hAnsi="Times New Roman"/>
          <w:sz w:val="24"/>
          <w:szCs w:val="24"/>
        </w:rPr>
      </w:pPr>
    </w:p>
    <w:p w14:paraId="078D5B68" w14:textId="688CA8D7" w:rsidR="00E203AB" w:rsidRDefault="003C58E5" w:rsidP="00F473E3">
      <w:pPr>
        <w:pStyle w:val="NoSpacing"/>
        <w:numPr>
          <w:ilvl w:val="0"/>
          <w:numId w:val="16"/>
        </w:numPr>
        <w:rPr>
          <w:rFonts w:ascii="Times New Roman" w:eastAsia="Times New Roman" w:hAnsi="Times New Roman"/>
          <w:sz w:val="24"/>
          <w:szCs w:val="24"/>
        </w:rPr>
      </w:pPr>
      <w:r>
        <w:rPr>
          <w:rFonts w:ascii="Times New Roman" w:eastAsia="Times New Roman" w:hAnsi="Times New Roman"/>
          <w:sz w:val="24"/>
          <w:szCs w:val="24"/>
          <w:u w:val="single"/>
        </w:rPr>
        <w:t>Sections B</w:t>
      </w:r>
      <w:r w:rsidR="005E2B33" w:rsidRPr="00F473E3">
        <w:rPr>
          <w:rFonts w:ascii="Times New Roman" w:eastAsia="Times New Roman" w:hAnsi="Times New Roman"/>
          <w:sz w:val="24"/>
          <w:szCs w:val="24"/>
          <w:u w:val="single"/>
        </w:rPr>
        <w:t>(1) and C(4).</w:t>
      </w:r>
      <w:r w:rsidR="005E2B33" w:rsidRPr="00F473E3">
        <w:rPr>
          <w:rFonts w:ascii="Times New Roman" w:eastAsia="Times New Roman" w:hAnsi="Times New Roman"/>
          <w:sz w:val="24"/>
          <w:szCs w:val="24"/>
        </w:rPr>
        <w:t xml:space="preserve"> </w:t>
      </w:r>
      <w:r w:rsidR="00E203AB" w:rsidRPr="00F473E3">
        <w:rPr>
          <w:rFonts w:ascii="Times New Roman" w:eastAsia="Times New Roman" w:hAnsi="Times New Roman"/>
          <w:sz w:val="24"/>
          <w:szCs w:val="24"/>
        </w:rPr>
        <w:t xml:space="preserve"> </w:t>
      </w:r>
      <w:r>
        <w:rPr>
          <w:rFonts w:ascii="Times New Roman" w:eastAsia="Times New Roman" w:hAnsi="Times New Roman"/>
          <w:sz w:val="24"/>
          <w:szCs w:val="24"/>
        </w:rPr>
        <w:t>Section B</w:t>
      </w:r>
      <w:r w:rsidR="005E2B33" w:rsidRPr="00F473E3">
        <w:rPr>
          <w:rFonts w:ascii="Times New Roman" w:eastAsia="Times New Roman" w:hAnsi="Times New Roman"/>
          <w:sz w:val="24"/>
          <w:szCs w:val="24"/>
        </w:rPr>
        <w:t xml:space="preserve"> Paragraph 1 prohibits the City from issuing permits or land use approvals for properties deemed to be in violation of the code, except for those conditions describ</w:t>
      </w:r>
      <w:r>
        <w:rPr>
          <w:rFonts w:ascii="Times New Roman" w:eastAsia="Times New Roman" w:hAnsi="Times New Roman"/>
          <w:sz w:val="24"/>
          <w:szCs w:val="24"/>
        </w:rPr>
        <w:t>ed in Paragraph 4(a) through 4(e</w:t>
      </w:r>
      <w:r w:rsidR="005E2B33" w:rsidRPr="00F473E3">
        <w:rPr>
          <w:rFonts w:ascii="Times New Roman" w:eastAsia="Times New Roman" w:hAnsi="Times New Roman"/>
          <w:sz w:val="24"/>
          <w:szCs w:val="24"/>
        </w:rPr>
        <w:t xml:space="preserve">) under which the City may issue permits to properties in violation of the Code. The City </w:t>
      </w:r>
      <w:r w:rsidR="00F473E3">
        <w:rPr>
          <w:rFonts w:ascii="Times New Roman" w:eastAsia="Times New Roman" w:hAnsi="Times New Roman"/>
          <w:sz w:val="24"/>
          <w:szCs w:val="24"/>
        </w:rPr>
        <w:t xml:space="preserve">has </w:t>
      </w:r>
      <w:r w:rsidR="003C6693">
        <w:rPr>
          <w:rFonts w:ascii="Times New Roman" w:eastAsia="Times New Roman" w:hAnsi="Times New Roman"/>
          <w:sz w:val="24"/>
          <w:szCs w:val="24"/>
        </w:rPr>
        <w:t>recommended</w:t>
      </w:r>
      <w:r w:rsidR="00F473E3">
        <w:rPr>
          <w:rFonts w:ascii="Times New Roman" w:eastAsia="Times New Roman" w:hAnsi="Times New Roman"/>
          <w:sz w:val="24"/>
          <w:szCs w:val="24"/>
        </w:rPr>
        <w:t xml:space="preserve"> the addition of</w:t>
      </w:r>
      <w:r w:rsidR="005E2B33" w:rsidRPr="00F473E3">
        <w:rPr>
          <w:rFonts w:ascii="Times New Roman" w:eastAsia="Times New Roman" w:hAnsi="Times New Roman"/>
          <w:sz w:val="24"/>
          <w:szCs w:val="24"/>
        </w:rPr>
        <w:t xml:space="preserve"> 4(e) to this ordinance to allow for approvals at the discretion of the City Planning Official where the proposed development meets all applicable code requirements. The purpose of this adjustment would be to allow owners of home parks or other multi-family developments to continue with development actions that meet the standards of the code while unrelated violations are being adjudicated and/or abated.</w:t>
      </w:r>
    </w:p>
    <w:p w14:paraId="3D1DD576" w14:textId="77777777" w:rsidR="00F473E3" w:rsidRDefault="00F473E3" w:rsidP="00F473E3">
      <w:pPr>
        <w:pStyle w:val="NoSpacing"/>
        <w:rPr>
          <w:rFonts w:ascii="Times New Roman" w:eastAsia="Times New Roman" w:hAnsi="Times New Roman"/>
          <w:sz w:val="24"/>
          <w:szCs w:val="24"/>
        </w:rPr>
      </w:pPr>
    </w:p>
    <w:p w14:paraId="5DA3E441" w14:textId="77777777" w:rsidR="00CD21DC" w:rsidRDefault="003C58E5" w:rsidP="00F473E3">
      <w:pPr>
        <w:pStyle w:val="NoSpacing"/>
        <w:numPr>
          <w:ilvl w:val="0"/>
          <w:numId w:val="16"/>
        </w:numPr>
        <w:rPr>
          <w:rFonts w:ascii="Times New Roman" w:eastAsia="Times New Roman" w:hAnsi="Times New Roman"/>
          <w:sz w:val="24"/>
          <w:szCs w:val="24"/>
        </w:rPr>
      </w:pPr>
      <w:r>
        <w:rPr>
          <w:rFonts w:ascii="Times New Roman" w:eastAsia="Times New Roman" w:hAnsi="Times New Roman"/>
          <w:sz w:val="24"/>
          <w:szCs w:val="24"/>
          <w:u w:val="single"/>
        </w:rPr>
        <w:t>Section C</w:t>
      </w:r>
      <w:r w:rsidR="00554E43" w:rsidRPr="00F473E3">
        <w:rPr>
          <w:rFonts w:ascii="Times New Roman" w:eastAsia="Times New Roman" w:hAnsi="Times New Roman"/>
          <w:sz w:val="24"/>
          <w:szCs w:val="24"/>
          <w:u w:val="single"/>
        </w:rPr>
        <w:t>.</w:t>
      </w:r>
      <w:r w:rsidR="00554E43" w:rsidRPr="00F473E3">
        <w:rPr>
          <w:rFonts w:ascii="Times New Roman" w:eastAsia="Times New Roman" w:hAnsi="Times New Roman"/>
          <w:sz w:val="24"/>
          <w:szCs w:val="24"/>
        </w:rPr>
        <w:t xml:space="preserve">  Revocation procedures created herein and imposed on applicants who fail to comply with those conditions and limitations placed upon the exercise of the permit or approval are consistent with similar provisions in state law. Specifically, the </w:t>
      </w:r>
      <w:r w:rsidR="00554E43" w:rsidRPr="00F473E3">
        <w:rPr>
          <w:rFonts w:ascii="Times New Roman" w:eastAsia="Times New Roman" w:hAnsi="Times New Roman"/>
          <w:i/>
          <w:sz w:val="24"/>
          <w:szCs w:val="24"/>
        </w:rPr>
        <w:t>2002 Oregon Manufactured Dwelling Park and Specialty Code</w:t>
      </w:r>
      <w:r w:rsidR="00F0655C" w:rsidRPr="00F473E3">
        <w:rPr>
          <w:rFonts w:ascii="Times New Roman" w:eastAsia="Times New Roman" w:hAnsi="Times New Roman"/>
          <w:i/>
          <w:sz w:val="24"/>
          <w:szCs w:val="24"/>
        </w:rPr>
        <w:t xml:space="preserve"> (the “MD&amp;P”)</w:t>
      </w:r>
      <w:r w:rsidR="00554E43" w:rsidRPr="00F473E3">
        <w:rPr>
          <w:rFonts w:ascii="Times New Roman" w:eastAsia="Times New Roman" w:hAnsi="Times New Roman"/>
          <w:sz w:val="24"/>
          <w:szCs w:val="24"/>
        </w:rPr>
        <w:t xml:space="preserve">, Section 1-7.8 “Permit Validity” and Section 1-7.9 “Permit Suspension or Revocation,” provide that “the issuance of a permit based on plans, specifications and related material shall not prevent the authority having jurisdiction from requiring the correction of errors in plans, specifications and related material or from preventing the building from being operated in violation of this code (Section 1-7.8).” The 2002 Specialty Code further authorizes suspension or revocation of permits “according to the provisions of the Oregon Administrative Procedures Act </w:t>
      </w:r>
      <w:r w:rsidR="00554E43" w:rsidRPr="00F473E3">
        <w:rPr>
          <w:rFonts w:ascii="Times New Roman" w:eastAsia="Times New Roman" w:hAnsi="Times New Roman"/>
          <w:i/>
          <w:sz w:val="24"/>
          <w:szCs w:val="24"/>
        </w:rPr>
        <w:t>or local ordinances</w:t>
      </w:r>
      <w:r w:rsidR="00554E43" w:rsidRPr="00F473E3">
        <w:rPr>
          <w:rFonts w:ascii="Times New Roman" w:eastAsia="Times New Roman" w:hAnsi="Times New Roman"/>
          <w:sz w:val="24"/>
          <w:szCs w:val="24"/>
        </w:rPr>
        <w:t xml:space="preserve"> (Section 1-7.9, </w:t>
      </w:r>
      <w:r w:rsidR="00554E43" w:rsidRPr="00F473E3">
        <w:rPr>
          <w:rFonts w:ascii="Times New Roman" w:eastAsia="Times New Roman" w:hAnsi="Times New Roman"/>
          <w:i/>
          <w:sz w:val="24"/>
          <w:szCs w:val="24"/>
        </w:rPr>
        <w:t>italics</w:t>
      </w:r>
      <w:r w:rsidR="00554E43" w:rsidRPr="00F473E3">
        <w:rPr>
          <w:rFonts w:ascii="Times New Roman" w:eastAsia="Times New Roman" w:hAnsi="Times New Roman"/>
          <w:sz w:val="24"/>
          <w:szCs w:val="24"/>
        </w:rPr>
        <w:t xml:space="preserve"> added).” </w:t>
      </w:r>
      <w:r w:rsidR="004606D8" w:rsidRPr="00F473E3">
        <w:rPr>
          <w:rFonts w:ascii="Times New Roman" w:eastAsia="Times New Roman" w:hAnsi="Times New Roman"/>
          <w:sz w:val="24"/>
          <w:szCs w:val="24"/>
        </w:rPr>
        <w:t xml:space="preserve">Similar language exists in the </w:t>
      </w:r>
      <w:r w:rsidR="004606D8" w:rsidRPr="00F473E3">
        <w:rPr>
          <w:rFonts w:ascii="Times New Roman" w:eastAsia="Times New Roman" w:hAnsi="Times New Roman"/>
          <w:i/>
          <w:sz w:val="24"/>
          <w:szCs w:val="24"/>
        </w:rPr>
        <w:t>2010 Oregon Manufactured Dwelling Installation Specialty Code</w:t>
      </w:r>
      <w:r w:rsidR="004606D8" w:rsidRPr="00F473E3">
        <w:rPr>
          <w:rFonts w:ascii="Times New Roman" w:eastAsia="Times New Roman" w:hAnsi="Times New Roman"/>
          <w:sz w:val="24"/>
          <w:szCs w:val="24"/>
        </w:rPr>
        <w:t>, Section 1-11 Stop Work Orders, which requires “The stop work order shall be in writing and shall be given to the owner of the property involved, to the owner’s agent, or to the person doing the work. Upon issuance of a stop work order, the cited work shall immediately cease. The stop work order shall state the reason for the order, and the conditions under which the cited work will be permitted to res</w:t>
      </w:r>
      <w:r>
        <w:rPr>
          <w:rFonts w:ascii="Times New Roman" w:eastAsia="Times New Roman" w:hAnsi="Times New Roman"/>
          <w:sz w:val="24"/>
          <w:szCs w:val="24"/>
        </w:rPr>
        <w:t>ume” (Section 1-11.2). Section C</w:t>
      </w:r>
      <w:r w:rsidR="004606D8" w:rsidRPr="00F473E3">
        <w:rPr>
          <w:rFonts w:ascii="Times New Roman" w:eastAsia="Times New Roman" w:hAnsi="Times New Roman"/>
          <w:sz w:val="24"/>
          <w:szCs w:val="24"/>
        </w:rPr>
        <w:t xml:space="preserve"> has been updated to reflect similar language for this ordinance.</w:t>
      </w:r>
      <w:r w:rsidR="00172F31">
        <w:rPr>
          <w:rFonts w:ascii="Times New Roman" w:eastAsia="Times New Roman" w:hAnsi="Times New Roman"/>
          <w:sz w:val="24"/>
          <w:szCs w:val="24"/>
        </w:rPr>
        <w:t xml:space="preserve"> </w:t>
      </w:r>
    </w:p>
    <w:p w14:paraId="5C7440D3" w14:textId="77777777" w:rsidR="00CD21DC" w:rsidRDefault="00CD21DC" w:rsidP="00CD21DC">
      <w:pPr>
        <w:pStyle w:val="NoSpacing"/>
        <w:ind w:left="1080"/>
        <w:rPr>
          <w:rFonts w:ascii="Times New Roman" w:eastAsia="Times New Roman" w:hAnsi="Times New Roman"/>
          <w:sz w:val="24"/>
          <w:szCs w:val="24"/>
        </w:rPr>
      </w:pPr>
    </w:p>
    <w:p w14:paraId="117B61DE" w14:textId="1DAC943E" w:rsidR="00F473E3" w:rsidRPr="00CD21DC" w:rsidRDefault="00172F31" w:rsidP="00CD21DC">
      <w:pPr>
        <w:pStyle w:val="NoSpacing"/>
        <w:ind w:left="1080"/>
        <w:rPr>
          <w:rFonts w:ascii="Times New Roman" w:eastAsia="Times New Roman" w:hAnsi="Times New Roman"/>
          <w:sz w:val="24"/>
          <w:szCs w:val="24"/>
        </w:rPr>
      </w:pPr>
      <w:r w:rsidRPr="00CD21DC">
        <w:rPr>
          <w:rFonts w:ascii="Times New Roman" w:eastAsia="Times New Roman" w:hAnsi="Times New Roman"/>
          <w:sz w:val="24"/>
          <w:szCs w:val="24"/>
        </w:rPr>
        <w:t>Additional language has also been added to include the public hearing distinction</w:t>
      </w:r>
      <w:r w:rsidR="00CD21DC">
        <w:rPr>
          <w:rFonts w:ascii="Times New Roman" w:eastAsia="Times New Roman" w:hAnsi="Times New Roman"/>
          <w:sz w:val="24"/>
          <w:szCs w:val="24"/>
        </w:rPr>
        <w:t>s</w:t>
      </w:r>
      <w:r w:rsidRPr="00CD21DC">
        <w:rPr>
          <w:rFonts w:ascii="Times New Roman" w:eastAsia="Times New Roman" w:hAnsi="Times New Roman"/>
          <w:sz w:val="24"/>
          <w:szCs w:val="24"/>
        </w:rPr>
        <w:t xml:space="preserve"> to clarify that due-process will be required for any permit revocation. </w:t>
      </w:r>
    </w:p>
    <w:p w14:paraId="66227372" w14:textId="3F6384FC" w:rsidR="00105FDD" w:rsidRPr="00105FDD" w:rsidRDefault="00105FDD" w:rsidP="00105FDD">
      <w:pPr>
        <w:pStyle w:val="NoSpacing"/>
        <w:rPr>
          <w:rFonts w:ascii="Times New Roman" w:hAnsi="Times New Roman"/>
          <w:sz w:val="24"/>
          <w:szCs w:val="24"/>
          <w:u w:val="single"/>
        </w:rPr>
      </w:pPr>
    </w:p>
    <w:p w14:paraId="3E2CD8E2" w14:textId="4FF2822B" w:rsidR="00CD21DC" w:rsidRDefault="00CD21DC" w:rsidP="00F473E3">
      <w:pPr>
        <w:pStyle w:val="NoSpacing"/>
        <w:numPr>
          <w:ilvl w:val="0"/>
          <w:numId w:val="16"/>
        </w:numPr>
        <w:rPr>
          <w:rFonts w:ascii="Times New Roman" w:eastAsia="Times New Roman" w:hAnsi="Times New Roman"/>
          <w:sz w:val="24"/>
          <w:szCs w:val="24"/>
        </w:rPr>
      </w:pPr>
      <w:r>
        <w:rPr>
          <w:rFonts w:ascii="Times New Roman" w:eastAsia="Times New Roman" w:hAnsi="Times New Roman"/>
          <w:sz w:val="24"/>
          <w:szCs w:val="24"/>
          <w:u w:val="single"/>
        </w:rPr>
        <w:lastRenderedPageBreak/>
        <w:t>Section D.</w:t>
      </w:r>
      <w:r>
        <w:rPr>
          <w:rFonts w:ascii="Times New Roman" w:eastAsia="Times New Roman" w:hAnsi="Times New Roman"/>
          <w:sz w:val="24"/>
          <w:szCs w:val="24"/>
        </w:rPr>
        <w:t xml:space="preserve"> Penalties of the development code have been clarified to include a reduced fine for each day the violation persists. The ordinance also includes a statement of </w:t>
      </w:r>
      <w:proofErr w:type="spellStart"/>
      <w:r>
        <w:rPr>
          <w:rFonts w:ascii="Times New Roman" w:eastAsia="Times New Roman" w:hAnsi="Times New Roman"/>
          <w:sz w:val="24"/>
          <w:szCs w:val="24"/>
        </w:rPr>
        <w:t>remidies</w:t>
      </w:r>
      <w:proofErr w:type="spellEnd"/>
      <w:r>
        <w:rPr>
          <w:rFonts w:ascii="Times New Roman" w:eastAsia="Times New Roman" w:hAnsi="Times New Roman"/>
          <w:sz w:val="24"/>
          <w:szCs w:val="24"/>
        </w:rPr>
        <w:t xml:space="preserve"> available to the city </w:t>
      </w:r>
      <w:r w:rsidR="00706D8E">
        <w:rPr>
          <w:rFonts w:ascii="Times New Roman" w:eastAsia="Times New Roman" w:hAnsi="Times New Roman"/>
          <w:sz w:val="24"/>
          <w:szCs w:val="24"/>
        </w:rPr>
        <w:t>in lieu of abatement.</w:t>
      </w:r>
    </w:p>
    <w:p w14:paraId="38695044" w14:textId="49A0F03B" w:rsidR="00CD21DC" w:rsidRPr="00CD21DC" w:rsidRDefault="00CD21DC" w:rsidP="00CD21DC">
      <w:pPr>
        <w:pStyle w:val="NoSpacing"/>
        <w:rPr>
          <w:rFonts w:ascii="Times New Roman" w:eastAsia="Times New Roman" w:hAnsi="Times New Roman"/>
          <w:sz w:val="24"/>
          <w:szCs w:val="24"/>
        </w:rPr>
      </w:pPr>
      <w:r>
        <w:rPr>
          <w:rFonts w:ascii="Times New Roman" w:eastAsia="Times New Roman" w:hAnsi="Times New Roman"/>
          <w:sz w:val="24"/>
          <w:szCs w:val="24"/>
        </w:rPr>
        <w:t xml:space="preserve"> </w:t>
      </w:r>
    </w:p>
    <w:p w14:paraId="2D145347" w14:textId="39562229" w:rsidR="009A4B62" w:rsidRPr="003C58E5" w:rsidRDefault="003C58E5" w:rsidP="00F473E3">
      <w:pPr>
        <w:pStyle w:val="NoSpacing"/>
        <w:numPr>
          <w:ilvl w:val="0"/>
          <w:numId w:val="16"/>
        </w:numPr>
        <w:rPr>
          <w:rFonts w:ascii="Times New Roman" w:eastAsia="Times New Roman" w:hAnsi="Times New Roman"/>
          <w:sz w:val="24"/>
          <w:szCs w:val="24"/>
        </w:rPr>
      </w:pPr>
      <w:r>
        <w:rPr>
          <w:rFonts w:ascii="Times New Roman" w:hAnsi="Times New Roman"/>
          <w:sz w:val="24"/>
          <w:szCs w:val="24"/>
          <w:u w:val="single"/>
        </w:rPr>
        <w:t>Section F</w:t>
      </w:r>
      <w:r w:rsidR="00E203AB" w:rsidRPr="00F473E3">
        <w:rPr>
          <w:rFonts w:ascii="Times New Roman" w:hAnsi="Times New Roman"/>
          <w:sz w:val="24"/>
          <w:szCs w:val="24"/>
          <w:u w:val="single"/>
        </w:rPr>
        <w:t>.</w:t>
      </w:r>
      <w:r w:rsidR="00E203AB" w:rsidRPr="00F473E3">
        <w:rPr>
          <w:rFonts w:ascii="Times New Roman" w:hAnsi="Times New Roman"/>
          <w:sz w:val="24"/>
          <w:szCs w:val="24"/>
        </w:rPr>
        <w:t xml:space="preserve">  Vicarious liability is imposed by this ordinance on both the property owner and its employees, agents, contractors, tenants, invitees, and any other occupant of the owner’s real property. This section is consistent with </w:t>
      </w:r>
      <w:r w:rsidR="009A4B62" w:rsidRPr="00F473E3">
        <w:rPr>
          <w:rFonts w:ascii="Times New Roman" w:hAnsi="Times New Roman"/>
          <w:sz w:val="24"/>
          <w:szCs w:val="24"/>
        </w:rPr>
        <w:t xml:space="preserve">Section 1-12 Violations and Penalties of </w:t>
      </w:r>
      <w:r w:rsidR="00F0655C" w:rsidRPr="00F473E3">
        <w:rPr>
          <w:rFonts w:ascii="Times New Roman" w:hAnsi="Times New Roman"/>
          <w:sz w:val="24"/>
          <w:szCs w:val="24"/>
        </w:rPr>
        <w:t>the MD&amp;P</w:t>
      </w:r>
      <w:r w:rsidR="00E203AB" w:rsidRPr="00F473E3">
        <w:rPr>
          <w:rFonts w:ascii="Times New Roman" w:hAnsi="Times New Roman"/>
          <w:sz w:val="24"/>
          <w:szCs w:val="24"/>
        </w:rPr>
        <w:t xml:space="preserve"> as it relate</w:t>
      </w:r>
      <w:r w:rsidR="009A4B62" w:rsidRPr="00F473E3">
        <w:rPr>
          <w:rFonts w:ascii="Times New Roman" w:hAnsi="Times New Roman"/>
          <w:sz w:val="24"/>
          <w:szCs w:val="24"/>
        </w:rPr>
        <w:t>s</w:t>
      </w:r>
      <w:r w:rsidR="00E203AB" w:rsidRPr="00F473E3">
        <w:rPr>
          <w:rFonts w:ascii="Times New Roman" w:hAnsi="Times New Roman"/>
          <w:sz w:val="24"/>
          <w:szCs w:val="24"/>
        </w:rPr>
        <w:t xml:space="preserve"> to manufactured home park</w:t>
      </w:r>
      <w:r w:rsidR="009A4B62" w:rsidRPr="00F473E3">
        <w:rPr>
          <w:rFonts w:ascii="Times New Roman" w:hAnsi="Times New Roman"/>
          <w:sz w:val="24"/>
          <w:szCs w:val="24"/>
        </w:rPr>
        <w:t xml:space="preserve"> developments:</w:t>
      </w:r>
      <w:r w:rsidR="00E203AB" w:rsidRPr="00F473E3">
        <w:rPr>
          <w:rFonts w:ascii="Times New Roman" w:hAnsi="Times New Roman"/>
          <w:sz w:val="24"/>
          <w:szCs w:val="24"/>
        </w:rPr>
        <w:t xml:space="preserve"> </w:t>
      </w:r>
      <w:r w:rsidR="009A4B62" w:rsidRPr="00F473E3">
        <w:rPr>
          <w:rFonts w:ascii="Times New Roman" w:hAnsi="Times New Roman"/>
          <w:sz w:val="24"/>
          <w:szCs w:val="24"/>
        </w:rPr>
        <w:t>“When an inspection reveals a manufactured dwelling installation, alteration, repair, or conversion violates any portion of this code, law, rule, or regulation, the authority having jurisdiction shall serve a Notice of Violation upon the owner or</w:t>
      </w:r>
      <w:r w:rsidR="00B34078" w:rsidRPr="00F473E3">
        <w:rPr>
          <w:rFonts w:ascii="Times New Roman" w:hAnsi="Times New Roman"/>
          <w:sz w:val="24"/>
          <w:szCs w:val="24"/>
        </w:rPr>
        <w:t xml:space="preserve"> </w:t>
      </w:r>
      <w:r w:rsidR="009A4B62" w:rsidRPr="00F473E3">
        <w:rPr>
          <w:rFonts w:ascii="Times New Roman" w:hAnsi="Times New Roman"/>
          <w:sz w:val="24"/>
          <w:szCs w:val="24"/>
        </w:rPr>
        <w:t>contractor</w:t>
      </w:r>
      <w:r w:rsidR="00B34078" w:rsidRPr="00F473E3">
        <w:rPr>
          <w:rFonts w:ascii="Times New Roman" w:hAnsi="Times New Roman"/>
          <w:sz w:val="24"/>
          <w:szCs w:val="24"/>
        </w:rPr>
        <w:t xml:space="preserve">” </w:t>
      </w:r>
      <w:r w:rsidR="009A4B62" w:rsidRPr="00F473E3">
        <w:rPr>
          <w:rFonts w:ascii="Times New Roman" w:hAnsi="Times New Roman"/>
          <w:sz w:val="24"/>
          <w:szCs w:val="24"/>
        </w:rPr>
        <w:t>(Section 1-12.1(a)).</w:t>
      </w:r>
      <w:r w:rsidR="00C55C79" w:rsidRPr="00F473E3">
        <w:rPr>
          <w:rFonts w:ascii="Times New Roman" w:hAnsi="Times New Roman"/>
          <w:sz w:val="24"/>
          <w:szCs w:val="24"/>
        </w:rPr>
        <w:t xml:space="preserve"> </w:t>
      </w:r>
      <w:r w:rsidR="005B7F76" w:rsidRPr="00F473E3">
        <w:rPr>
          <w:rFonts w:ascii="Times New Roman" w:eastAsia="Times New Roman" w:hAnsi="Times New Roman"/>
          <w:sz w:val="24"/>
          <w:szCs w:val="24"/>
        </w:rPr>
        <w:t xml:space="preserve">This vicarious liability is also consistent with </w:t>
      </w:r>
      <w:r w:rsidR="00EC1C17" w:rsidRPr="00F473E3">
        <w:rPr>
          <w:rFonts w:ascii="Times New Roman" w:eastAsia="Times New Roman" w:hAnsi="Times New Roman"/>
          <w:sz w:val="24"/>
          <w:szCs w:val="24"/>
        </w:rPr>
        <w:t xml:space="preserve">Oregon Revised Statute (ORS) 446.111 Regulation of structures in parks, which states: “No stationary structure may be erected within a mobile home or manufactured dwelling park </w:t>
      </w:r>
      <w:r w:rsidR="00EC1C17" w:rsidRPr="00F473E3">
        <w:rPr>
          <w:rFonts w:ascii="Times New Roman" w:hAnsi="Times New Roman"/>
          <w:i/>
          <w:sz w:val="24"/>
          <w:szCs w:val="24"/>
        </w:rPr>
        <w:t>without the consent of the owner or operator</w:t>
      </w:r>
      <w:r w:rsidR="00EC1C17" w:rsidRPr="00F473E3">
        <w:rPr>
          <w:rFonts w:ascii="Times New Roman" w:eastAsia="Times New Roman" w:hAnsi="Times New Roman"/>
          <w:sz w:val="24"/>
          <w:szCs w:val="24"/>
        </w:rPr>
        <w:t>; and when giving consent, it shall be the duty of the mobile home or manufactured dwelling park manager to advise the tenant or builder of the standards required by ORS 446.003 (Definitions for ORS 446.003 to 446.200 and 446.225 to 446.285 and ORS chapters 195, 196, 197, 215 and 227) to 446.200 (Exemption from additional regulations) and 446.225 (Administration and enforcement of federal manufactured housing safety and construction standards) to 446.285 (Advisory board training and education programs) and the rules issued thereunder. [1961 c.665 §3; 1967 c.247 §7; 1969 c.533 §22; 1973 c.560 §11; 1975 c.546 §11; 1989 c.648 §11]</w:t>
      </w:r>
      <w:r w:rsidR="00604482" w:rsidRPr="00F473E3">
        <w:rPr>
          <w:rFonts w:ascii="Times New Roman" w:eastAsia="Times New Roman" w:hAnsi="Times New Roman"/>
          <w:sz w:val="24"/>
          <w:szCs w:val="24"/>
        </w:rPr>
        <w:t>” (</w:t>
      </w:r>
      <w:r w:rsidR="00604482" w:rsidRPr="00F473E3">
        <w:rPr>
          <w:rFonts w:ascii="Times New Roman" w:eastAsia="Times New Roman" w:hAnsi="Times New Roman"/>
          <w:i/>
          <w:sz w:val="24"/>
          <w:szCs w:val="24"/>
        </w:rPr>
        <w:t>italics added).</w:t>
      </w:r>
    </w:p>
    <w:p w14:paraId="21D95BDA" w14:textId="77777777" w:rsidR="003C58E5" w:rsidRPr="003C58E5" w:rsidRDefault="003C58E5" w:rsidP="003C58E5">
      <w:pPr>
        <w:pStyle w:val="NoSpacing"/>
        <w:rPr>
          <w:rFonts w:ascii="Times New Roman" w:eastAsia="Times New Roman" w:hAnsi="Times New Roman"/>
          <w:sz w:val="24"/>
          <w:szCs w:val="24"/>
        </w:rPr>
      </w:pPr>
    </w:p>
    <w:p w14:paraId="247CA482" w14:textId="08729711" w:rsidR="003C58E5" w:rsidRPr="003C58E5" w:rsidRDefault="003C58E5" w:rsidP="00F473E3">
      <w:pPr>
        <w:pStyle w:val="NoSpacing"/>
        <w:numPr>
          <w:ilvl w:val="0"/>
          <w:numId w:val="16"/>
        </w:numPr>
        <w:rPr>
          <w:rFonts w:ascii="Times New Roman" w:eastAsia="Times New Roman" w:hAnsi="Times New Roman"/>
          <w:sz w:val="24"/>
          <w:szCs w:val="24"/>
          <w:u w:val="single"/>
        </w:rPr>
      </w:pPr>
      <w:r w:rsidRPr="003C58E5">
        <w:rPr>
          <w:rFonts w:ascii="Times New Roman" w:eastAsia="Times New Roman" w:hAnsi="Times New Roman"/>
          <w:sz w:val="24"/>
          <w:szCs w:val="24"/>
          <w:u w:val="single"/>
        </w:rPr>
        <w:t>Definitions</w:t>
      </w:r>
      <w:r>
        <w:rPr>
          <w:rFonts w:ascii="Times New Roman" w:eastAsia="Times New Roman" w:hAnsi="Times New Roman"/>
          <w:sz w:val="24"/>
          <w:szCs w:val="24"/>
          <w:u w:val="single"/>
        </w:rPr>
        <w:t>.</w:t>
      </w:r>
      <w:r w:rsidRPr="003C58E5">
        <w:rPr>
          <w:rFonts w:ascii="Times New Roman" w:eastAsia="Times New Roman" w:hAnsi="Times New Roman"/>
          <w:sz w:val="24"/>
          <w:szCs w:val="24"/>
        </w:rPr>
        <w:t xml:space="preserve"> </w:t>
      </w:r>
      <w:r>
        <w:rPr>
          <w:rFonts w:ascii="Times New Roman" w:eastAsia="Times New Roman" w:hAnsi="Times New Roman"/>
          <w:sz w:val="24"/>
          <w:szCs w:val="24"/>
        </w:rPr>
        <w:t xml:space="preserve">The definition of Planning Official has been amended to clarify the role to include city </w:t>
      </w:r>
      <w:r w:rsidR="003C6693">
        <w:rPr>
          <w:rFonts w:ascii="Times New Roman" w:eastAsia="Times New Roman" w:hAnsi="Times New Roman"/>
          <w:sz w:val="24"/>
          <w:szCs w:val="24"/>
        </w:rPr>
        <w:t>employees or contractors at the discretion</w:t>
      </w:r>
      <w:r>
        <w:rPr>
          <w:rFonts w:ascii="Times New Roman" w:eastAsia="Times New Roman" w:hAnsi="Times New Roman"/>
          <w:sz w:val="24"/>
          <w:szCs w:val="24"/>
        </w:rPr>
        <w:t xml:space="preserve"> of the Chief Planning Official. The </w:t>
      </w:r>
      <w:r w:rsidR="003C6693">
        <w:rPr>
          <w:rFonts w:ascii="Times New Roman" w:eastAsia="Times New Roman" w:hAnsi="Times New Roman"/>
          <w:sz w:val="24"/>
          <w:szCs w:val="24"/>
        </w:rPr>
        <w:t>inclusion</w:t>
      </w:r>
      <w:r>
        <w:rPr>
          <w:rFonts w:ascii="Times New Roman" w:eastAsia="Times New Roman" w:hAnsi="Times New Roman"/>
          <w:sz w:val="24"/>
          <w:szCs w:val="24"/>
        </w:rPr>
        <w:t xml:space="preserve"> of the ‘qualified’ desi</w:t>
      </w:r>
      <w:r w:rsidR="003C6693">
        <w:rPr>
          <w:rFonts w:ascii="Times New Roman" w:eastAsia="Times New Roman" w:hAnsi="Times New Roman"/>
          <w:sz w:val="24"/>
          <w:szCs w:val="24"/>
        </w:rPr>
        <w:t>g</w:t>
      </w:r>
      <w:r>
        <w:rPr>
          <w:rFonts w:ascii="Times New Roman" w:eastAsia="Times New Roman" w:hAnsi="Times New Roman"/>
          <w:sz w:val="24"/>
          <w:szCs w:val="24"/>
        </w:rPr>
        <w:t xml:space="preserve">nation in this section has been removed to avoid redundancy and further uncertainty regarding the meaning of </w:t>
      </w:r>
      <w:r w:rsidR="003C6693">
        <w:rPr>
          <w:rFonts w:ascii="Times New Roman" w:eastAsia="Times New Roman" w:hAnsi="Times New Roman"/>
          <w:sz w:val="24"/>
          <w:szCs w:val="24"/>
        </w:rPr>
        <w:t>“qualified</w:t>
      </w:r>
      <w:r>
        <w:rPr>
          <w:rFonts w:ascii="Times New Roman" w:eastAsia="Times New Roman" w:hAnsi="Times New Roman"/>
          <w:sz w:val="24"/>
          <w:szCs w:val="24"/>
        </w:rPr>
        <w:t>.</w:t>
      </w:r>
      <w:r w:rsidR="003C6693">
        <w:rPr>
          <w:rFonts w:ascii="Times New Roman" w:eastAsia="Times New Roman" w:hAnsi="Times New Roman"/>
          <w:sz w:val="24"/>
          <w:szCs w:val="24"/>
        </w:rPr>
        <w:t>”</w:t>
      </w:r>
      <w:r>
        <w:rPr>
          <w:rFonts w:ascii="Times New Roman" w:eastAsia="Times New Roman" w:hAnsi="Times New Roman"/>
          <w:sz w:val="24"/>
          <w:szCs w:val="24"/>
        </w:rPr>
        <w:t xml:space="preserve"> T</w:t>
      </w:r>
      <w:r w:rsidR="003C6693">
        <w:rPr>
          <w:rFonts w:ascii="Times New Roman" w:eastAsia="Times New Roman" w:hAnsi="Times New Roman"/>
          <w:sz w:val="24"/>
          <w:szCs w:val="24"/>
        </w:rPr>
        <w:t>he discretion</w:t>
      </w:r>
      <w:r>
        <w:rPr>
          <w:rFonts w:ascii="Times New Roman" w:eastAsia="Times New Roman" w:hAnsi="Times New Roman"/>
          <w:sz w:val="24"/>
          <w:szCs w:val="24"/>
        </w:rPr>
        <w:t xml:space="preserve"> of the Chief Planning Official is </w:t>
      </w:r>
      <w:r w:rsidR="003C6693">
        <w:rPr>
          <w:rFonts w:ascii="Times New Roman" w:eastAsia="Times New Roman" w:hAnsi="Times New Roman"/>
          <w:sz w:val="24"/>
          <w:szCs w:val="24"/>
        </w:rPr>
        <w:t>necessary</w:t>
      </w:r>
      <w:r>
        <w:rPr>
          <w:rFonts w:ascii="Times New Roman" w:eastAsia="Times New Roman" w:hAnsi="Times New Roman"/>
          <w:sz w:val="24"/>
          <w:szCs w:val="24"/>
        </w:rPr>
        <w:t xml:space="preserve"> in this definition, and the clarification </w:t>
      </w:r>
      <w:r w:rsidR="003C6693">
        <w:rPr>
          <w:rFonts w:ascii="Times New Roman" w:eastAsia="Times New Roman" w:hAnsi="Times New Roman"/>
          <w:sz w:val="24"/>
          <w:szCs w:val="24"/>
        </w:rPr>
        <w:t xml:space="preserve">that the appointee shall be “qualified” does not reduce ambiguity or create additional standards for the appointment. </w:t>
      </w:r>
    </w:p>
    <w:p w14:paraId="66563E92" w14:textId="77777777" w:rsidR="004460C7" w:rsidRPr="00CA1533" w:rsidRDefault="004460C7" w:rsidP="005C054E">
      <w:pPr>
        <w:pStyle w:val="NoSpacing"/>
        <w:ind w:left="1800"/>
        <w:rPr>
          <w:rFonts w:ascii="Palatino" w:hAnsi="Palatino"/>
          <w:b/>
        </w:rPr>
      </w:pPr>
    </w:p>
    <w:p w14:paraId="4509E28C" w14:textId="524F743A" w:rsidR="00E157D1" w:rsidRPr="00CA1533" w:rsidRDefault="00FA634B" w:rsidP="00E157D1">
      <w:pPr>
        <w:pStyle w:val="NoSpacing"/>
        <w:rPr>
          <w:rFonts w:ascii="Palatino" w:hAnsi="Palatino"/>
          <w:b/>
        </w:rPr>
      </w:pPr>
      <w:r w:rsidRPr="00CA1533">
        <w:rPr>
          <w:rFonts w:ascii="Palatino" w:hAnsi="Palatino"/>
          <w:b/>
        </w:rPr>
        <w:t>6</w:t>
      </w:r>
      <w:r w:rsidR="00E157D1" w:rsidRPr="00CA1533">
        <w:rPr>
          <w:rFonts w:ascii="Palatino" w:hAnsi="Palatino"/>
          <w:b/>
        </w:rPr>
        <w:t>.</w:t>
      </w:r>
      <w:r w:rsidR="00E157D1" w:rsidRPr="00CA1533">
        <w:rPr>
          <w:rFonts w:ascii="Palatino" w:hAnsi="Palatino"/>
          <w:b/>
        </w:rPr>
        <w:tab/>
        <w:t>ADOPTION PROCEDURE AND FINDINGS</w:t>
      </w:r>
    </w:p>
    <w:p w14:paraId="1EE4F2C5" w14:textId="6F5539F4" w:rsidR="00E157D1" w:rsidRPr="00CA1533" w:rsidRDefault="00E157D1" w:rsidP="005C054E">
      <w:pPr>
        <w:widowControl w:val="0"/>
        <w:tabs>
          <w:tab w:val="left" w:pos="8380"/>
        </w:tabs>
        <w:rPr>
          <w:rFonts w:ascii="Palatino" w:hAnsi="Palatino"/>
          <w:sz w:val="22"/>
          <w:szCs w:val="22"/>
        </w:rPr>
      </w:pPr>
    </w:p>
    <w:p w14:paraId="50423433" w14:textId="57E6E596" w:rsidR="00E157D1" w:rsidRPr="00CA1533" w:rsidRDefault="00E157D1" w:rsidP="00CA1533">
      <w:pPr>
        <w:widowControl w:val="0"/>
        <w:ind w:left="720"/>
        <w:rPr>
          <w:rFonts w:ascii="Palatino" w:hAnsi="Palatino"/>
          <w:sz w:val="22"/>
          <w:szCs w:val="22"/>
        </w:rPr>
      </w:pPr>
      <w:r w:rsidRPr="00CA1533">
        <w:rPr>
          <w:rFonts w:ascii="Palatino" w:hAnsi="Palatino"/>
          <w:sz w:val="22"/>
          <w:szCs w:val="22"/>
        </w:rPr>
        <w:t>The following section</w:t>
      </w:r>
      <w:r w:rsidR="008E67B1" w:rsidRPr="00CA1533">
        <w:rPr>
          <w:rFonts w:ascii="Palatino" w:hAnsi="Palatino"/>
          <w:sz w:val="22"/>
          <w:szCs w:val="22"/>
        </w:rPr>
        <w:t xml:space="preserve"> shown in italics and boldface</w:t>
      </w:r>
      <w:r w:rsidR="00CA1533" w:rsidRPr="00CA1533">
        <w:rPr>
          <w:rFonts w:ascii="Palatino" w:hAnsi="Palatino"/>
          <w:sz w:val="22"/>
          <w:szCs w:val="22"/>
        </w:rPr>
        <w:t xml:space="preserve"> provides the decision making </w:t>
      </w:r>
      <w:r w:rsidRPr="00CA1533">
        <w:rPr>
          <w:rFonts w:ascii="Palatino" w:hAnsi="Palatino"/>
          <w:sz w:val="22"/>
          <w:szCs w:val="22"/>
        </w:rPr>
        <w:t>criteria as required by John Day Development Code Section 5-4.1.050.</w:t>
      </w:r>
      <w:r w:rsidR="004460C7" w:rsidRPr="00CA1533">
        <w:rPr>
          <w:rFonts w:ascii="Palatino" w:hAnsi="Palatino"/>
          <w:sz w:val="22"/>
          <w:szCs w:val="22"/>
        </w:rPr>
        <w:t xml:space="preserve">G. </w:t>
      </w:r>
    </w:p>
    <w:p w14:paraId="2B95215B" w14:textId="77777777" w:rsidR="00E157D1" w:rsidRPr="00CA1533" w:rsidRDefault="00E157D1" w:rsidP="00854440">
      <w:pPr>
        <w:widowControl w:val="0"/>
        <w:rPr>
          <w:rFonts w:ascii="Palatino" w:hAnsi="Palatino"/>
          <w:sz w:val="22"/>
          <w:szCs w:val="22"/>
        </w:rPr>
      </w:pPr>
    </w:p>
    <w:p w14:paraId="12DCEB4D" w14:textId="4DEA2B8A" w:rsidR="00E157D1" w:rsidRPr="00CA1533" w:rsidRDefault="00E157D1" w:rsidP="004460C7">
      <w:pPr>
        <w:widowControl w:val="0"/>
        <w:ind w:left="810"/>
        <w:rPr>
          <w:rFonts w:ascii="Palatino" w:hAnsi="Palatino"/>
          <w:sz w:val="22"/>
          <w:szCs w:val="22"/>
        </w:rPr>
      </w:pPr>
      <w:r w:rsidRPr="00CA1533">
        <w:rPr>
          <w:rFonts w:ascii="Palatino" w:hAnsi="Palatino"/>
          <w:sz w:val="22"/>
          <w:szCs w:val="22"/>
        </w:rPr>
        <w:t>***</w:t>
      </w:r>
    </w:p>
    <w:p w14:paraId="132D59D5" w14:textId="77777777" w:rsidR="00E157D1" w:rsidRPr="00CA1533" w:rsidRDefault="00E157D1" w:rsidP="004460C7">
      <w:pPr>
        <w:widowControl w:val="0"/>
        <w:ind w:left="810"/>
        <w:rPr>
          <w:rFonts w:ascii="Palatino" w:hAnsi="Palatino"/>
          <w:sz w:val="22"/>
          <w:szCs w:val="22"/>
        </w:rPr>
      </w:pPr>
    </w:p>
    <w:p w14:paraId="4DDBF594" w14:textId="2C76FE6F" w:rsidR="00E157D1" w:rsidRPr="00CA1533" w:rsidRDefault="00E157D1" w:rsidP="004460C7">
      <w:pPr>
        <w:widowControl w:val="0"/>
        <w:ind w:left="810"/>
        <w:rPr>
          <w:rFonts w:ascii="Palatino" w:hAnsi="Palatino"/>
          <w:b/>
          <w:i/>
          <w:sz w:val="22"/>
          <w:szCs w:val="22"/>
        </w:rPr>
      </w:pPr>
      <w:r w:rsidRPr="00CA1533">
        <w:rPr>
          <w:rFonts w:ascii="Palatino" w:hAnsi="Palatino"/>
          <w:b/>
          <w:i/>
          <w:sz w:val="22"/>
          <w:szCs w:val="22"/>
        </w:rPr>
        <w:t>Decision-Making Criteria. The recommendation by the Planning Commission shall be based on the following factors:</w:t>
      </w:r>
    </w:p>
    <w:p w14:paraId="7A48364E" w14:textId="77777777" w:rsidR="00E157D1" w:rsidRPr="00CA1533" w:rsidRDefault="00E157D1" w:rsidP="004460C7">
      <w:pPr>
        <w:widowControl w:val="0"/>
        <w:ind w:left="810"/>
        <w:rPr>
          <w:rFonts w:ascii="Palatino" w:hAnsi="Palatino"/>
          <w:b/>
          <w:i/>
          <w:sz w:val="22"/>
          <w:szCs w:val="22"/>
        </w:rPr>
      </w:pPr>
    </w:p>
    <w:p w14:paraId="68F34AA6" w14:textId="4F09FD41" w:rsidR="005B185B" w:rsidRDefault="00E157D1" w:rsidP="008A10A3">
      <w:pPr>
        <w:pStyle w:val="ListParagraph"/>
        <w:widowControl w:val="0"/>
        <w:numPr>
          <w:ilvl w:val="0"/>
          <w:numId w:val="12"/>
        </w:numPr>
        <w:rPr>
          <w:rFonts w:ascii="Palatino" w:hAnsi="Palatino"/>
          <w:b/>
          <w:i/>
          <w:sz w:val="22"/>
          <w:szCs w:val="22"/>
        </w:rPr>
      </w:pPr>
      <w:r w:rsidRPr="00CA1533">
        <w:rPr>
          <w:rFonts w:ascii="Palatino" w:hAnsi="Palatino"/>
          <w:b/>
          <w:i/>
          <w:sz w:val="22"/>
          <w:szCs w:val="22"/>
        </w:rPr>
        <w:t xml:space="preserve">Approval of the request is consistent with the Statewide Planning Goals; </w:t>
      </w:r>
    </w:p>
    <w:p w14:paraId="4D457A75" w14:textId="209AA7EC" w:rsidR="00CA1533" w:rsidRDefault="00CA1533" w:rsidP="00CA1533">
      <w:pPr>
        <w:widowControl w:val="0"/>
        <w:rPr>
          <w:rFonts w:ascii="Palatino" w:hAnsi="Palatino"/>
          <w:b/>
          <w:i/>
          <w:sz w:val="22"/>
          <w:szCs w:val="22"/>
        </w:rPr>
      </w:pPr>
    </w:p>
    <w:p w14:paraId="6828CEB7" w14:textId="43B016F2" w:rsidR="00CA1533" w:rsidRDefault="00CA1533" w:rsidP="00CA1533">
      <w:pPr>
        <w:widowControl w:val="0"/>
        <w:ind w:left="720"/>
        <w:rPr>
          <w:rFonts w:ascii="Palatino" w:hAnsi="Palatino"/>
          <w:sz w:val="22"/>
          <w:szCs w:val="22"/>
        </w:rPr>
      </w:pPr>
      <w:r w:rsidRPr="00CA1533">
        <w:rPr>
          <w:rFonts w:ascii="Palatino" w:hAnsi="Palatino"/>
          <w:b/>
          <w:sz w:val="22"/>
          <w:szCs w:val="22"/>
        </w:rPr>
        <w:t>FINDING:</w:t>
      </w:r>
      <w:r>
        <w:rPr>
          <w:rFonts w:ascii="Palatino" w:hAnsi="Palatino"/>
          <w:sz w:val="22"/>
          <w:szCs w:val="22"/>
        </w:rPr>
        <w:t xml:space="preserve"> Specific findings of compliance with statewide land use goals are addressed below. </w:t>
      </w:r>
    </w:p>
    <w:p w14:paraId="556D1801" w14:textId="4203BB43" w:rsidR="00CA1533" w:rsidRDefault="00CA1533" w:rsidP="00CA1533">
      <w:pPr>
        <w:widowControl w:val="0"/>
        <w:ind w:left="720"/>
        <w:rPr>
          <w:rFonts w:ascii="Palatino" w:hAnsi="Palatino"/>
          <w:sz w:val="22"/>
          <w:szCs w:val="22"/>
        </w:rPr>
      </w:pPr>
    </w:p>
    <w:p w14:paraId="63546F27" w14:textId="69AECCFA" w:rsidR="00CA1533" w:rsidRPr="00CA1533" w:rsidRDefault="002502CE" w:rsidP="00CA1533">
      <w:pPr>
        <w:widowControl w:val="0"/>
        <w:ind w:left="720"/>
        <w:rPr>
          <w:rFonts w:ascii="Palatino" w:hAnsi="Palatino"/>
          <w:b/>
          <w:sz w:val="22"/>
          <w:szCs w:val="22"/>
        </w:rPr>
      </w:pPr>
      <w:r>
        <w:rPr>
          <w:rFonts w:ascii="Palatino" w:hAnsi="Palatino"/>
          <w:b/>
          <w:sz w:val="22"/>
          <w:szCs w:val="22"/>
        </w:rPr>
        <w:t>Goal 1—</w:t>
      </w:r>
      <w:r w:rsidR="00CA1533" w:rsidRPr="00CA1533">
        <w:rPr>
          <w:rFonts w:ascii="Palatino" w:hAnsi="Palatino"/>
          <w:b/>
          <w:sz w:val="22"/>
          <w:szCs w:val="22"/>
        </w:rPr>
        <w:t xml:space="preserve">Citizen Involvement.  </w:t>
      </w:r>
    </w:p>
    <w:p w14:paraId="3939230E" w14:textId="77777777" w:rsidR="00CA1533" w:rsidRPr="00CA1533" w:rsidRDefault="00CA1533" w:rsidP="00CA1533">
      <w:pPr>
        <w:widowControl w:val="0"/>
        <w:ind w:left="720"/>
        <w:rPr>
          <w:rFonts w:ascii="Palatino" w:hAnsi="Palatino"/>
          <w:sz w:val="22"/>
          <w:szCs w:val="22"/>
        </w:rPr>
      </w:pPr>
    </w:p>
    <w:p w14:paraId="60029B89" w14:textId="77777777" w:rsidR="00CA1533" w:rsidRPr="00CA1533" w:rsidRDefault="00CA1533" w:rsidP="00CA1533">
      <w:pPr>
        <w:widowControl w:val="0"/>
        <w:ind w:left="720"/>
        <w:rPr>
          <w:rFonts w:ascii="Palatino" w:hAnsi="Palatino"/>
          <w:sz w:val="22"/>
          <w:szCs w:val="22"/>
        </w:rPr>
      </w:pPr>
      <w:r w:rsidRPr="002502CE">
        <w:rPr>
          <w:rFonts w:ascii="Palatino" w:hAnsi="Palatino"/>
          <w:b/>
          <w:sz w:val="22"/>
          <w:szCs w:val="22"/>
        </w:rPr>
        <w:t>Finding:</w:t>
      </w:r>
      <w:r w:rsidRPr="00CA1533">
        <w:rPr>
          <w:rFonts w:ascii="Palatino" w:hAnsi="Palatino"/>
          <w:sz w:val="22"/>
          <w:szCs w:val="22"/>
        </w:rPr>
        <w:t xml:space="preserve"> The Code establishes procedures for text amendments such as the subject proposal to implement Goal 1.  The Code specifically calls for various forms of notice and public hearings.  The City has provided the requisite notices and held the requisite public hearings to satisfy the Code and therefore Goal 1. This criterion is met.</w:t>
      </w:r>
    </w:p>
    <w:p w14:paraId="5F15D399" w14:textId="77777777" w:rsidR="00CA1533" w:rsidRPr="00CA1533" w:rsidRDefault="00CA1533" w:rsidP="00CA1533">
      <w:pPr>
        <w:widowControl w:val="0"/>
        <w:ind w:left="720"/>
        <w:rPr>
          <w:rFonts w:ascii="Palatino" w:hAnsi="Palatino"/>
          <w:sz w:val="22"/>
          <w:szCs w:val="22"/>
        </w:rPr>
      </w:pPr>
    </w:p>
    <w:p w14:paraId="636385F2" w14:textId="0E7EE246" w:rsidR="00CA1533" w:rsidRPr="002502CE" w:rsidRDefault="002502CE" w:rsidP="00CA1533">
      <w:pPr>
        <w:widowControl w:val="0"/>
        <w:ind w:left="720"/>
        <w:rPr>
          <w:rFonts w:ascii="Palatino" w:hAnsi="Palatino"/>
          <w:b/>
          <w:sz w:val="22"/>
          <w:szCs w:val="22"/>
        </w:rPr>
      </w:pPr>
      <w:r>
        <w:rPr>
          <w:rFonts w:ascii="Palatino" w:hAnsi="Palatino"/>
          <w:b/>
          <w:sz w:val="22"/>
          <w:szCs w:val="22"/>
        </w:rPr>
        <w:t>Goal 2—</w:t>
      </w:r>
      <w:r w:rsidR="00CA1533" w:rsidRPr="002502CE">
        <w:rPr>
          <w:rFonts w:ascii="Palatino" w:hAnsi="Palatino"/>
          <w:b/>
          <w:sz w:val="22"/>
          <w:szCs w:val="22"/>
        </w:rPr>
        <w:t>Land Use Planning.</w:t>
      </w:r>
    </w:p>
    <w:p w14:paraId="7C168E4B" w14:textId="77777777" w:rsidR="00CA1533" w:rsidRPr="00CA1533" w:rsidRDefault="00CA1533" w:rsidP="00CA1533">
      <w:pPr>
        <w:widowControl w:val="0"/>
        <w:ind w:left="720"/>
        <w:rPr>
          <w:rFonts w:ascii="Palatino" w:hAnsi="Palatino"/>
          <w:sz w:val="22"/>
          <w:szCs w:val="22"/>
        </w:rPr>
      </w:pPr>
    </w:p>
    <w:p w14:paraId="085DDD58" w14:textId="77777777" w:rsidR="00CA1533" w:rsidRPr="00CA1533" w:rsidRDefault="00CA1533" w:rsidP="00CA1533">
      <w:pPr>
        <w:widowControl w:val="0"/>
        <w:ind w:left="720"/>
        <w:rPr>
          <w:rFonts w:ascii="Palatino" w:hAnsi="Palatino"/>
          <w:sz w:val="22"/>
          <w:szCs w:val="22"/>
        </w:rPr>
      </w:pPr>
      <w:r w:rsidRPr="002502CE">
        <w:rPr>
          <w:rFonts w:ascii="Palatino" w:hAnsi="Palatino"/>
          <w:b/>
          <w:sz w:val="22"/>
          <w:szCs w:val="22"/>
        </w:rPr>
        <w:t>Finding:</w:t>
      </w:r>
      <w:r w:rsidRPr="00CA1533">
        <w:rPr>
          <w:rFonts w:ascii="Palatino" w:hAnsi="Palatino"/>
          <w:sz w:val="22"/>
          <w:szCs w:val="22"/>
        </w:rPr>
        <w:t xml:space="preserve"> Staff is following the prescribed procedure for a text amendment to ensure adequate review of the proposed text amendment. This staff report identifies the basis for making a decision on the subject proposal pursuant to applicable code criteria. Staff finds Goal 2 is met.</w:t>
      </w:r>
    </w:p>
    <w:p w14:paraId="14012375" w14:textId="77777777" w:rsidR="00CA1533" w:rsidRPr="00CA1533" w:rsidRDefault="00CA1533" w:rsidP="00CA1533">
      <w:pPr>
        <w:widowControl w:val="0"/>
        <w:ind w:left="720"/>
        <w:rPr>
          <w:rFonts w:ascii="Palatino" w:hAnsi="Palatino"/>
          <w:sz w:val="22"/>
          <w:szCs w:val="22"/>
        </w:rPr>
      </w:pPr>
    </w:p>
    <w:p w14:paraId="0AB9F29C" w14:textId="795AA42B" w:rsidR="00CA1533" w:rsidRPr="002502CE" w:rsidRDefault="002502CE" w:rsidP="00CA1533">
      <w:pPr>
        <w:widowControl w:val="0"/>
        <w:ind w:left="720"/>
        <w:rPr>
          <w:rFonts w:ascii="Palatino" w:hAnsi="Palatino"/>
          <w:b/>
          <w:sz w:val="22"/>
          <w:szCs w:val="22"/>
        </w:rPr>
      </w:pPr>
      <w:r w:rsidRPr="002502CE">
        <w:rPr>
          <w:rFonts w:ascii="Palatino" w:hAnsi="Palatino"/>
          <w:b/>
          <w:sz w:val="22"/>
          <w:szCs w:val="22"/>
        </w:rPr>
        <w:t>Goals 3 and 4—</w:t>
      </w:r>
      <w:r w:rsidR="00CA1533" w:rsidRPr="002502CE">
        <w:rPr>
          <w:rFonts w:ascii="Palatino" w:hAnsi="Palatino"/>
          <w:b/>
          <w:sz w:val="22"/>
          <w:szCs w:val="22"/>
        </w:rPr>
        <w:t>Agricultural and Forest Lands</w:t>
      </w:r>
      <w:r w:rsidR="004748F8">
        <w:rPr>
          <w:rFonts w:ascii="Palatino" w:hAnsi="Palatino"/>
          <w:b/>
          <w:sz w:val="22"/>
          <w:szCs w:val="22"/>
        </w:rPr>
        <w:t>.</w:t>
      </w:r>
    </w:p>
    <w:p w14:paraId="1A9CF981" w14:textId="77777777" w:rsidR="00CA1533" w:rsidRPr="00CA1533" w:rsidRDefault="00CA1533" w:rsidP="00CA1533">
      <w:pPr>
        <w:widowControl w:val="0"/>
        <w:ind w:left="720"/>
        <w:rPr>
          <w:rFonts w:ascii="Palatino" w:hAnsi="Palatino"/>
          <w:sz w:val="22"/>
          <w:szCs w:val="22"/>
        </w:rPr>
      </w:pPr>
    </w:p>
    <w:p w14:paraId="131C917F" w14:textId="77777777" w:rsidR="00CA1533" w:rsidRPr="00CA1533" w:rsidRDefault="00CA1533" w:rsidP="00CA1533">
      <w:pPr>
        <w:widowControl w:val="0"/>
        <w:ind w:left="720"/>
        <w:rPr>
          <w:rFonts w:ascii="Palatino" w:hAnsi="Palatino"/>
          <w:sz w:val="22"/>
          <w:szCs w:val="22"/>
        </w:rPr>
      </w:pPr>
      <w:r w:rsidRPr="002502CE">
        <w:rPr>
          <w:rFonts w:ascii="Palatino" w:hAnsi="Palatino"/>
          <w:b/>
          <w:sz w:val="22"/>
          <w:szCs w:val="22"/>
        </w:rPr>
        <w:t>Finding:</w:t>
      </w:r>
      <w:r w:rsidRPr="00CA1533">
        <w:rPr>
          <w:rFonts w:ascii="Palatino" w:hAnsi="Palatino"/>
          <w:sz w:val="22"/>
          <w:szCs w:val="22"/>
        </w:rPr>
        <w:t xml:space="preserve"> These Goals are not applicable as the proposed text amendments will not have any known impact on either Agricultural or Forest Lands.</w:t>
      </w:r>
    </w:p>
    <w:p w14:paraId="4A06817D" w14:textId="77777777" w:rsidR="00CA1533" w:rsidRPr="00CA1533" w:rsidRDefault="00CA1533" w:rsidP="00CA1533">
      <w:pPr>
        <w:widowControl w:val="0"/>
        <w:ind w:left="720"/>
        <w:rPr>
          <w:rFonts w:ascii="Palatino" w:hAnsi="Palatino"/>
          <w:sz w:val="22"/>
          <w:szCs w:val="22"/>
        </w:rPr>
      </w:pPr>
    </w:p>
    <w:p w14:paraId="76A275C5" w14:textId="1130F7F6" w:rsidR="00CA1533" w:rsidRPr="002502CE" w:rsidRDefault="002502CE" w:rsidP="00CA1533">
      <w:pPr>
        <w:widowControl w:val="0"/>
        <w:ind w:left="720"/>
        <w:rPr>
          <w:rFonts w:ascii="Palatino" w:hAnsi="Palatino"/>
          <w:b/>
          <w:sz w:val="22"/>
          <w:szCs w:val="22"/>
        </w:rPr>
      </w:pPr>
      <w:r>
        <w:rPr>
          <w:rFonts w:ascii="Palatino" w:hAnsi="Palatino"/>
          <w:b/>
          <w:sz w:val="22"/>
          <w:szCs w:val="22"/>
        </w:rPr>
        <w:t>Goal 5—</w:t>
      </w:r>
      <w:r w:rsidR="00CA1533" w:rsidRPr="002502CE">
        <w:rPr>
          <w:rFonts w:ascii="Palatino" w:hAnsi="Palatino"/>
          <w:b/>
          <w:sz w:val="22"/>
          <w:szCs w:val="22"/>
        </w:rPr>
        <w:t>Natural Resources, Scenic and Historic Areas, and Open Spaces.</w:t>
      </w:r>
    </w:p>
    <w:p w14:paraId="518CECD8" w14:textId="77777777" w:rsidR="00CA1533" w:rsidRPr="00CA1533" w:rsidRDefault="00CA1533" w:rsidP="00CA1533">
      <w:pPr>
        <w:widowControl w:val="0"/>
        <w:ind w:left="720"/>
        <w:rPr>
          <w:rFonts w:ascii="Palatino" w:hAnsi="Palatino"/>
          <w:sz w:val="22"/>
          <w:szCs w:val="22"/>
        </w:rPr>
      </w:pPr>
    </w:p>
    <w:p w14:paraId="2666F210" w14:textId="77777777" w:rsidR="00CA1533" w:rsidRPr="00CA1533" w:rsidRDefault="00CA1533" w:rsidP="00CA1533">
      <w:pPr>
        <w:widowControl w:val="0"/>
        <w:ind w:left="720"/>
        <w:rPr>
          <w:rFonts w:ascii="Palatino" w:hAnsi="Palatino"/>
          <w:sz w:val="22"/>
          <w:szCs w:val="22"/>
        </w:rPr>
      </w:pPr>
      <w:r w:rsidRPr="002502CE">
        <w:rPr>
          <w:rFonts w:ascii="Palatino" w:hAnsi="Palatino"/>
          <w:b/>
          <w:sz w:val="22"/>
          <w:szCs w:val="22"/>
        </w:rPr>
        <w:t>Finding:</w:t>
      </w:r>
      <w:r w:rsidRPr="00CA1533">
        <w:rPr>
          <w:rFonts w:ascii="Palatino" w:hAnsi="Palatino"/>
          <w:sz w:val="22"/>
          <w:szCs w:val="22"/>
        </w:rPr>
        <w:t xml:space="preserve"> The proposed text amendments have no impact on Natural Resources, Scenic and Historic Areas, and Open Spaces. This Goal does not apply.</w:t>
      </w:r>
    </w:p>
    <w:p w14:paraId="56611040" w14:textId="77777777" w:rsidR="00CA1533" w:rsidRPr="00CA1533" w:rsidRDefault="00CA1533" w:rsidP="00CA1533">
      <w:pPr>
        <w:widowControl w:val="0"/>
        <w:ind w:left="720"/>
        <w:rPr>
          <w:rFonts w:ascii="Palatino" w:hAnsi="Palatino"/>
          <w:sz w:val="22"/>
          <w:szCs w:val="22"/>
        </w:rPr>
      </w:pPr>
    </w:p>
    <w:p w14:paraId="64B9492E" w14:textId="721D3799" w:rsidR="00CA1533" w:rsidRPr="002502CE" w:rsidRDefault="002502CE" w:rsidP="00CA1533">
      <w:pPr>
        <w:widowControl w:val="0"/>
        <w:ind w:left="720"/>
        <w:rPr>
          <w:rFonts w:ascii="Palatino" w:hAnsi="Palatino"/>
          <w:b/>
          <w:sz w:val="22"/>
          <w:szCs w:val="22"/>
        </w:rPr>
      </w:pPr>
      <w:r w:rsidRPr="002502CE">
        <w:rPr>
          <w:rFonts w:ascii="Palatino" w:hAnsi="Palatino"/>
          <w:b/>
          <w:sz w:val="22"/>
          <w:szCs w:val="22"/>
        </w:rPr>
        <w:t>Goal 6—</w:t>
      </w:r>
      <w:r w:rsidR="00CA1533" w:rsidRPr="002502CE">
        <w:rPr>
          <w:rFonts w:ascii="Palatino" w:hAnsi="Palatino"/>
          <w:b/>
          <w:sz w:val="22"/>
          <w:szCs w:val="22"/>
        </w:rPr>
        <w:t xml:space="preserve">Air, Water and Land Resources Quality. </w:t>
      </w:r>
    </w:p>
    <w:p w14:paraId="33395310" w14:textId="77777777" w:rsidR="00CA1533" w:rsidRPr="00CA1533" w:rsidRDefault="00CA1533" w:rsidP="00CA1533">
      <w:pPr>
        <w:widowControl w:val="0"/>
        <w:ind w:left="720"/>
        <w:rPr>
          <w:rFonts w:ascii="Palatino" w:hAnsi="Palatino"/>
          <w:sz w:val="22"/>
          <w:szCs w:val="22"/>
        </w:rPr>
      </w:pPr>
    </w:p>
    <w:p w14:paraId="39344F20" w14:textId="77777777" w:rsidR="00CA1533" w:rsidRPr="00CA1533" w:rsidRDefault="00CA1533" w:rsidP="00CA1533">
      <w:pPr>
        <w:widowControl w:val="0"/>
        <w:ind w:left="720"/>
        <w:rPr>
          <w:rFonts w:ascii="Palatino" w:hAnsi="Palatino"/>
          <w:sz w:val="22"/>
          <w:szCs w:val="22"/>
        </w:rPr>
      </w:pPr>
      <w:r w:rsidRPr="004748F8">
        <w:rPr>
          <w:rFonts w:ascii="Palatino" w:hAnsi="Palatino"/>
          <w:b/>
          <w:sz w:val="22"/>
          <w:szCs w:val="22"/>
        </w:rPr>
        <w:t>Finding:</w:t>
      </w:r>
      <w:r w:rsidRPr="00CA1533">
        <w:rPr>
          <w:rFonts w:ascii="Palatino" w:hAnsi="Palatino"/>
          <w:sz w:val="22"/>
          <w:szCs w:val="22"/>
        </w:rPr>
        <w:t xml:space="preserve"> The proposed text amendments have no impact to air, water, and land resources. This Goal does not apply.</w:t>
      </w:r>
    </w:p>
    <w:p w14:paraId="26CC4EF3" w14:textId="77777777" w:rsidR="00CA1533" w:rsidRPr="00CA1533" w:rsidRDefault="00CA1533" w:rsidP="00CA1533">
      <w:pPr>
        <w:widowControl w:val="0"/>
        <w:ind w:left="720"/>
        <w:rPr>
          <w:rFonts w:ascii="Palatino" w:hAnsi="Palatino"/>
          <w:sz w:val="22"/>
          <w:szCs w:val="22"/>
        </w:rPr>
      </w:pPr>
    </w:p>
    <w:p w14:paraId="06FD8F55" w14:textId="42A90D47" w:rsidR="00CA1533" w:rsidRPr="004748F8" w:rsidRDefault="004748F8" w:rsidP="00CA1533">
      <w:pPr>
        <w:widowControl w:val="0"/>
        <w:ind w:left="720"/>
        <w:rPr>
          <w:rFonts w:ascii="Palatino" w:hAnsi="Palatino"/>
          <w:b/>
          <w:sz w:val="22"/>
          <w:szCs w:val="22"/>
        </w:rPr>
      </w:pPr>
      <w:r>
        <w:rPr>
          <w:rFonts w:ascii="Palatino" w:hAnsi="Palatino"/>
          <w:b/>
          <w:sz w:val="22"/>
          <w:szCs w:val="22"/>
        </w:rPr>
        <w:t>Goal 7—</w:t>
      </w:r>
      <w:r w:rsidR="00CA1533" w:rsidRPr="004748F8">
        <w:rPr>
          <w:rFonts w:ascii="Palatino" w:hAnsi="Palatino"/>
          <w:b/>
          <w:sz w:val="22"/>
          <w:szCs w:val="22"/>
        </w:rPr>
        <w:t>Areas Subject to Natural Hazards.</w:t>
      </w:r>
    </w:p>
    <w:p w14:paraId="48705531" w14:textId="77777777" w:rsidR="00CA1533" w:rsidRPr="00CA1533" w:rsidRDefault="00CA1533" w:rsidP="00CA1533">
      <w:pPr>
        <w:widowControl w:val="0"/>
        <w:ind w:left="720"/>
        <w:rPr>
          <w:rFonts w:ascii="Palatino" w:hAnsi="Palatino"/>
          <w:sz w:val="22"/>
          <w:szCs w:val="22"/>
        </w:rPr>
      </w:pPr>
    </w:p>
    <w:p w14:paraId="1881242D" w14:textId="77777777" w:rsidR="00CA1533" w:rsidRPr="00CA1533" w:rsidRDefault="00CA1533" w:rsidP="00CA1533">
      <w:pPr>
        <w:widowControl w:val="0"/>
        <w:ind w:left="720"/>
        <w:rPr>
          <w:rFonts w:ascii="Palatino" w:hAnsi="Palatino"/>
          <w:sz w:val="22"/>
          <w:szCs w:val="22"/>
        </w:rPr>
      </w:pPr>
      <w:r w:rsidRPr="004748F8">
        <w:rPr>
          <w:rFonts w:ascii="Palatino" w:hAnsi="Palatino"/>
          <w:b/>
          <w:sz w:val="22"/>
          <w:szCs w:val="22"/>
        </w:rPr>
        <w:t>Finding:</w:t>
      </w:r>
      <w:r w:rsidRPr="00CA1533">
        <w:rPr>
          <w:rFonts w:ascii="Palatino" w:hAnsi="Palatino"/>
          <w:sz w:val="22"/>
          <w:szCs w:val="22"/>
        </w:rPr>
        <w:t xml:space="preserve"> The proposed text amendments have no impact on the City’s ability to plan for natural hazards or do not otherwise amend the City’s land use regulations governing natural hazards.  This Goal does not apply.</w:t>
      </w:r>
    </w:p>
    <w:p w14:paraId="2D5590FD" w14:textId="77777777" w:rsidR="00CA1533" w:rsidRPr="00CA1533" w:rsidRDefault="00CA1533" w:rsidP="00CA1533">
      <w:pPr>
        <w:widowControl w:val="0"/>
        <w:ind w:left="720"/>
        <w:rPr>
          <w:rFonts w:ascii="Palatino" w:hAnsi="Palatino"/>
          <w:sz w:val="22"/>
          <w:szCs w:val="22"/>
        </w:rPr>
      </w:pPr>
    </w:p>
    <w:p w14:paraId="46A80E0E" w14:textId="1D9F1DF3" w:rsidR="00CA1533" w:rsidRPr="004748F8" w:rsidRDefault="004748F8" w:rsidP="00CA1533">
      <w:pPr>
        <w:widowControl w:val="0"/>
        <w:ind w:left="720"/>
        <w:rPr>
          <w:rFonts w:ascii="Palatino" w:hAnsi="Palatino"/>
          <w:b/>
          <w:sz w:val="22"/>
          <w:szCs w:val="22"/>
        </w:rPr>
      </w:pPr>
      <w:r>
        <w:rPr>
          <w:rFonts w:ascii="Palatino" w:hAnsi="Palatino"/>
          <w:b/>
          <w:sz w:val="22"/>
          <w:szCs w:val="22"/>
        </w:rPr>
        <w:t>Goal 8—</w:t>
      </w:r>
      <w:r w:rsidR="00CA1533" w:rsidRPr="004748F8">
        <w:rPr>
          <w:rFonts w:ascii="Palatino" w:hAnsi="Palatino"/>
          <w:b/>
          <w:sz w:val="22"/>
          <w:szCs w:val="22"/>
        </w:rPr>
        <w:t xml:space="preserve">Recreational Needs.  </w:t>
      </w:r>
    </w:p>
    <w:p w14:paraId="38300840" w14:textId="77777777" w:rsidR="00CA1533" w:rsidRPr="00CA1533" w:rsidRDefault="00CA1533" w:rsidP="00CA1533">
      <w:pPr>
        <w:widowControl w:val="0"/>
        <w:ind w:left="720"/>
        <w:rPr>
          <w:rFonts w:ascii="Palatino" w:hAnsi="Palatino"/>
          <w:sz w:val="22"/>
          <w:szCs w:val="22"/>
        </w:rPr>
      </w:pPr>
    </w:p>
    <w:p w14:paraId="25B95EEF" w14:textId="77777777" w:rsidR="00CA1533" w:rsidRPr="00CA1533" w:rsidRDefault="00CA1533" w:rsidP="00CA1533">
      <w:pPr>
        <w:widowControl w:val="0"/>
        <w:ind w:left="720"/>
        <w:rPr>
          <w:rFonts w:ascii="Palatino" w:hAnsi="Palatino"/>
          <w:sz w:val="22"/>
          <w:szCs w:val="22"/>
        </w:rPr>
      </w:pPr>
      <w:r w:rsidRPr="004748F8">
        <w:rPr>
          <w:rFonts w:ascii="Palatino" w:hAnsi="Palatino"/>
          <w:b/>
          <w:sz w:val="22"/>
          <w:szCs w:val="22"/>
        </w:rPr>
        <w:t>Finding:</w:t>
      </w:r>
      <w:r w:rsidRPr="00CA1533">
        <w:rPr>
          <w:rFonts w:ascii="Palatino" w:hAnsi="Palatino"/>
          <w:sz w:val="22"/>
          <w:szCs w:val="22"/>
        </w:rPr>
        <w:t xml:space="preserve"> The proposed text amendments have no impact on recreational needs or resources.  This Goal does not apply.</w:t>
      </w:r>
    </w:p>
    <w:p w14:paraId="537BCEF0" w14:textId="77777777" w:rsidR="00CA1533" w:rsidRPr="00CA1533" w:rsidRDefault="00CA1533" w:rsidP="00CA1533">
      <w:pPr>
        <w:widowControl w:val="0"/>
        <w:ind w:left="720"/>
        <w:rPr>
          <w:rFonts w:ascii="Palatino" w:hAnsi="Palatino"/>
          <w:sz w:val="22"/>
          <w:szCs w:val="22"/>
        </w:rPr>
      </w:pPr>
    </w:p>
    <w:p w14:paraId="4FBEBE67" w14:textId="5E242943" w:rsidR="00CA1533" w:rsidRPr="004748F8" w:rsidRDefault="004748F8" w:rsidP="00CA1533">
      <w:pPr>
        <w:widowControl w:val="0"/>
        <w:ind w:left="720"/>
        <w:rPr>
          <w:rFonts w:ascii="Palatino" w:hAnsi="Palatino"/>
          <w:b/>
          <w:sz w:val="22"/>
          <w:szCs w:val="22"/>
        </w:rPr>
      </w:pPr>
      <w:r w:rsidRPr="004748F8">
        <w:rPr>
          <w:rFonts w:ascii="Palatino" w:hAnsi="Palatino"/>
          <w:b/>
          <w:sz w:val="22"/>
          <w:szCs w:val="22"/>
        </w:rPr>
        <w:t>Goal 9—</w:t>
      </w:r>
      <w:r w:rsidR="00CA1533" w:rsidRPr="004748F8">
        <w:rPr>
          <w:rFonts w:ascii="Palatino" w:hAnsi="Palatino"/>
          <w:b/>
          <w:sz w:val="22"/>
          <w:szCs w:val="22"/>
        </w:rPr>
        <w:t xml:space="preserve">Economic Development.  </w:t>
      </w:r>
    </w:p>
    <w:p w14:paraId="639B60DD" w14:textId="77777777" w:rsidR="00CA1533" w:rsidRPr="00CA1533" w:rsidRDefault="00CA1533" w:rsidP="00CA1533">
      <w:pPr>
        <w:widowControl w:val="0"/>
        <w:ind w:left="720"/>
        <w:rPr>
          <w:rFonts w:ascii="Palatino" w:hAnsi="Palatino"/>
          <w:sz w:val="22"/>
          <w:szCs w:val="22"/>
        </w:rPr>
      </w:pPr>
    </w:p>
    <w:p w14:paraId="5ADFEA41" w14:textId="77777777" w:rsidR="00CA1533" w:rsidRPr="00CA1533" w:rsidRDefault="00CA1533" w:rsidP="00CA1533">
      <w:pPr>
        <w:widowControl w:val="0"/>
        <w:ind w:left="720"/>
        <w:rPr>
          <w:rFonts w:ascii="Palatino" w:hAnsi="Palatino"/>
          <w:sz w:val="22"/>
          <w:szCs w:val="22"/>
        </w:rPr>
      </w:pPr>
      <w:r w:rsidRPr="004748F8">
        <w:rPr>
          <w:rFonts w:ascii="Palatino" w:hAnsi="Palatino"/>
          <w:b/>
          <w:sz w:val="22"/>
          <w:szCs w:val="22"/>
        </w:rPr>
        <w:t>Finding:</w:t>
      </w:r>
      <w:r w:rsidRPr="00CA1533">
        <w:rPr>
          <w:rFonts w:ascii="Palatino" w:hAnsi="Palatino"/>
          <w:sz w:val="22"/>
          <w:szCs w:val="22"/>
        </w:rPr>
        <w:t xml:space="preserve"> The proposed amendments do not affect the City’s supply of lands available for industrial or commercial uses or otherwise inhibit development of lands within the City for such uses.  This Goal does not apply.</w:t>
      </w:r>
    </w:p>
    <w:p w14:paraId="5B2AB600" w14:textId="77777777" w:rsidR="00CA1533" w:rsidRPr="00CA1533" w:rsidRDefault="00CA1533" w:rsidP="00CA1533">
      <w:pPr>
        <w:widowControl w:val="0"/>
        <w:ind w:left="720"/>
        <w:rPr>
          <w:rFonts w:ascii="Palatino" w:hAnsi="Palatino"/>
          <w:sz w:val="22"/>
          <w:szCs w:val="22"/>
        </w:rPr>
      </w:pPr>
    </w:p>
    <w:p w14:paraId="1094F78B" w14:textId="2D617534" w:rsidR="00CA1533" w:rsidRPr="004748F8" w:rsidRDefault="004748F8" w:rsidP="00CA1533">
      <w:pPr>
        <w:widowControl w:val="0"/>
        <w:ind w:left="720"/>
        <w:rPr>
          <w:rFonts w:ascii="Palatino" w:hAnsi="Palatino"/>
          <w:b/>
          <w:sz w:val="22"/>
          <w:szCs w:val="22"/>
        </w:rPr>
      </w:pPr>
      <w:r>
        <w:rPr>
          <w:rFonts w:ascii="Palatino" w:hAnsi="Palatino"/>
          <w:b/>
          <w:sz w:val="22"/>
          <w:szCs w:val="22"/>
        </w:rPr>
        <w:t>Goal 10—Housing.</w:t>
      </w:r>
    </w:p>
    <w:p w14:paraId="3DE9454C" w14:textId="77777777" w:rsidR="00CA1533" w:rsidRPr="00CA1533" w:rsidRDefault="00CA1533" w:rsidP="00CA1533">
      <w:pPr>
        <w:widowControl w:val="0"/>
        <w:ind w:left="720"/>
        <w:rPr>
          <w:rFonts w:ascii="Palatino" w:hAnsi="Palatino"/>
          <w:sz w:val="22"/>
          <w:szCs w:val="22"/>
        </w:rPr>
      </w:pPr>
    </w:p>
    <w:p w14:paraId="3914381F" w14:textId="77777777" w:rsidR="00CA1533" w:rsidRPr="00CA1533" w:rsidRDefault="00CA1533" w:rsidP="00CA1533">
      <w:pPr>
        <w:widowControl w:val="0"/>
        <w:ind w:left="720"/>
        <w:rPr>
          <w:rFonts w:ascii="Palatino" w:hAnsi="Palatino"/>
          <w:sz w:val="22"/>
          <w:szCs w:val="22"/>
        </w:rPr>
      </w:pPr>
      <w:r w:rsidRPr="004748F8">
        <w:rPr>
          <w:rFonts w:ascii="Palatino" w:hAnsi="Palatino"/>
          <w:b/>
          <w:sz w:val="22"/>
          <w:szCs w:val="22"/>
        </w:rPr>
        <w:t>Finding:</w:t>
      </w:r>
      <w:r w:rsidRPr="00CA1533">
        <w:rPr>
          <w:rFonts w:ascii="Palatino" w:hAnsi="Palatino"/>
          <w:sz w:val="22"/>
          <w:szCs w:val="22"/>
        </w:rPr>
        <w:t xml:space="preserve"> The proposed text amendments do not affect the City’s supply of land </w:t>
      </w:r>
      <w:r w:rsidRPr="00CA1533">
        <w:rPr>
          <w:rFonts w:ascii="Palatino" w:hAnsi="Palatino"/>
          <w:sz w:val="22"/>
          <w:szCs w:val="22"/>
        </w:rPr>
        <w:lastRenderedPageBreak/>
        <w:t>available for residential development or otherwise inhibit residential development.  This Goal does not apply.</w:t>
      </w:r>
    </w:p>
    <w:p w14:paraId="57B9C9FD" w14:textId="77777777" w:rsidR="00CA1533" w:rsidRPr="00CA1533" w:rsidRDefault="00CA1533" w:rsidP="00CA1533">
      <w:pPr>
        <w:widowControl w:val="0"/>
        <w:ind w:left="720"/>
        <w:rPr>
          <w:rFonts w:ascii="Palatino" w:hAnsi="Palatino"/>
          <w:sz w:val="22"/>
          <w:szCs w:val="22"/>
        </w:rPr>
      </w:pPr>
    </w:p>
    <w:p w14:paraId="0D86C8C1" w14:textId="61685C2B" w:rsidR="00CA1533" w:rsidRPr="004748F8" w:rsidRDefault="004748F8" w:rsidP="00CA1533">
      <w:pPr>
        <w:widowControl w:val="0"/>
        <w:ind w:left="720"/>
        <w:rPr>
          <w:rFonts w:ascii="Palatino" w:hAnsi="Palatino"/>
          <w:b/>
          <w:sz w:val="22"/>
          <w:szCs w:val="22"/>
        </w:rPr>
      </w:pPr>
      <w:r>
        <w:rPr>
          <w:rFonts w:ascii="Palatino" w:hAnsi="Palatino"/>
          <w:b/>
          <w:sz w:val="22"/>
          <w:szCs w:val="22"/>
        </w:rPr>
        <w:t>Goal 11—</w:t>
      </w:r>
      <w:r w:rsidR="00CA1533" w:rsidRPr="004748F8">
        <w:rPr>
          <w:rFonts w:ascii="Palatino" w:hAnsi="Palatino"/>
          <w:b/>
          <w:sz w:val="22"/>
          <w:szCs w:val="22"/>
        </w:rPr>
        <w:t>Public Facilities and Services</w:t>
      </w:r>
      <w:r>
        <w:rPr>
          <w:rFonts w:ascii="Palatino" w:hAnsi="Palatino"/>
          <w:b/>
          <w:sz w:val="22"/>
          <w:szCs w:val="22"/>
        </w:rPr>
        <w:t>.</w:t>
      </w:r>
    </w:p>
    <w:p w14:paraId="06D03F6D" w14:textId="77777777" w:rsidR="00CA1533" w:rsidRPr="00CA1533" w:rsidRDefault="00CA1533" w:rsidP="00CA1533">
      <w:pPr>
        <w:widowControl w:val="0"/>
        <w:ind w:left="720"/>
        <w:rPr>
          <w:rFonts w:ascii="Palatino" w:hAnsi="Palatino"/>
          <w:sz w:val="22"/>
          <w:szCs w:val="22"/>
        </w:rPr>
      </w:pPr>
    </w:p>
    <w:p w14:paraId="7E1DEB9F" w14:textId="77777777" w:rsidR="00CA1533" w:rsidRPr="00CA1533" w:rsidRDefault="00CA1533" w:rsidP="00CA1533">
      <w:pPr>
        <w:widowControl w:val="0"/>
        <w:ind w:left="720"/>
        <w:rPr>
          <w:rFonts w:ascii="Palatino" w:hAnsi="Palatino"/>
          <w:sz w:val="22"/>
          <w:szCs w:val="22"/>
        </w:rPr>
      </w:pPr>
      <w:r w:rsidRPr="004748F8">
        <w:rPr>
          <w:rFonts w:ascii="Palatino" w:hAnsi="Palatino"/>
          <w:b/>
          <w:sz w:val="22"/>
          <w:szCs w:val="22"/>
        </w:rPr>
        <w:t>Finding:</w:t>
      </w:r>
      <w:r w:rsidRPr="00CA1533">
        <w:rPr>
          <w:rFonts w:ascii="Palatino" w:hAnsi="Palatino"/>
          <w:sz w:val="22"/>
          <w:szCs w:val="22"/>
        </w:rPr>
        <w:t xml:space="preserve"> The proposed amendments do not impact the City’s ability to plan for or supply public facilities or services. This Goal does not apply.</w:t>
      </w:r>
    </w:p>
    <w:p w14:paraId="5CE52759" w14:textId="77777777" w:rsidR="00CA1533" w:rsidRPr="00CA1533" w:rsidRDefault="00CA1533" w:rsidP="00CA1533">
      <w:pPr>
        <w:widowControl w:val="0"/>
        <w:ind w:left="720"/>
        <w:rPr>
          <w:rFonts w:ascii="Palatino" w:hAnsi="Palatino"/>
          <w:sz w:val="22"/>
          <w:szCs w:val="22"/>
        </w:rPr>
      </w:pPr>
    </w:p>
    <w:p w14:paraId="5E237372" w14:textId="79449E91" w:rsidR="00CA1533" w:rsidRPr="004748F8" w:rsidRDefault="004748F8" w:rsidP="00CA1533">
      <w:pPr>
        <w:widowControl w:val="0"/>
        <w:ind w:left="720"/>
        <w:rPr>
          <w:rFonts w:ascii="Palatino" w:hAnsi="Palatino"/>
          <w:b/>
          <w:sz w:val="22"/>
          <w:szCs w:val="22"/>
        </w:rPr>
      </w:pPr>
      <w:r>
        <w:rPr>
          <w:rFonts w:ascii="Palatino" w:hAnsi="Palatino"/>
          <w:b/>
          <w:sz w:val="22"/>
          <w:szCs w:val="22"/>
        </w:rPr>
        <w:t>Goal 12—</w:t>
      </w:r>
      <w:r w:rsidR="00CA1533" w:rsidRPr="004748F8">
        <w:rPr>
          <w:rFonts w:ascii="Palatino" w:hAnsi="Palatino"/>
          <w:b/>
          <w:sz w:val="22"/>
          <w:szCs w:val="22"/>
        </w:rPr>
        <w:t>Transportation</w:t>
      </w:r>
      <w:r>
        <w:rPr>
          <w:rFonts w:ascii="Palatino" w:hAnsi="Palatino"/>
          <w:b/>
          <w:sz w:val="22"/>
          <w:szCs w:val="22"/>
        </w:rPr>
        <w:t xml:space="preserve">. </w:t>
      </w:r>
    </w:p>
    <w:p w14:paraId="1110CEC2" w14:textId="77777777" w:rsidR="00CA1533" w:rsidRPr="00CA1533" w:rsidRDefault="00CA1533" w:rsidP="00CA1533">
      <w:pPr>
        <w:widowControl w:val="0"/>
        <w:ind w:left="720"/>
        <w:rPr>
          <w:rFonts w:ascii="Palatino" w:hAnsi="Palatino"/>
          <w:sz w:val="22"/>
          <w:szCs w:val="22"/>
        </w:rPr>
      </w:pPr>
    </w:p>
    <w:p w14:paraId="4CD8A2FF" w14:textId="77777777" w:rsidR="00CA1533" w:rsidRPr="00CA1533" w:rsidRDefault="00CA1533" w:rsidP="00CA1533">
      <w:pPr>
        <w:widowControl w:val="0"/>
        <w:ind w:left="720"/>
        <w:rPr>
          <w:rFonts w:ascii="Palatino" w:hAnsi="Palatino"/>
          <w:sz w:val="22"/>
          <w:szCs w:val="22"/>
        </w:rPr>
      </w:pPr>
      <w:r w:rsidRPr="004748F8">
        <w:rPr>
          <w:rFonts w:ascii="Palatino" w:hAnsi="Palatino"/>
          <w:b/>
          <w:sz w:val="22"/>
          <w:szCs w:val="22"/>
        </w:rPr>
        <w:t>Finding:</w:t>
      </w:r>
      <w:r w:rsidRPr="00CA1533">
        <w:rPr>
          <w:rFonts w:ascii="Palatino" w:hAnsi="Palatino"/>
          <w:sz w:val="22"/>
          <w:szCs w:val="22"/>
        </w:rPr>
        <w:t xml:space="preserve"> The proposed text amendments have no impact on the City’s ability to plan for supply an adequate transportation system. It does not allow for higher levels of development than presently permitted or otherwise change the function or classification of any transportation facility.  This Goal does not apply.</w:t>
      </w:r>
    </w:p>
    <w:p w14:paraId="2DF1E528" w14:textId="77777777" w:rsidR="00CA1533" w:rsidRPr="00CA1533" w:rsidRDefault="00CA1533" w:rsidP="00CA1533">
      <w:pPr>
        <w:widowControl w:val="0"/>
        <w:ind w:left="720"/>
        <w:rPr>
          <w:rFonts w:ascii="Palatino" w:hAnsi="Palatino"/>
          <w:sz w:val="22"/>
          <w:szCs w:val="22"/>
        </w:rPr>
      </w:pPr>
    </w:p>
    <w:p w14:paraId="33F1052D" w14:textId="14B53FB9" w:rsidR="00CA1533" w:rsidRPr="004748F8" w:rsidRDefault="004748F8" w:rsidP="00CA1533">
      <w:pPr>
        <w:widowControl w:val="0"/>
        <w:ind w:left="720"/>
        <w:rPr>
          <w:rFonts w:ascii="Palatino" w:hAnsi="Palatino"/>
          <w:b/>
          <w:sz w:val="22"/>
          <w:szCs w:val="22"/>
        </w:rPr>
      </w:pPr>
      <w:r w:rsidRPr="004748F8">
        <w:rPr>
          <w:rFonts w:ascii="Palatino" w:hAnsi="Palatino"/>
          <w:b/>
          <w:sz w:val="22"/>
          <w:szCs w:val="22"/>
        </w:rPr>
        <w:t>Goal 13—</w:t>
      </w:r>
      <w:r w:rsidR="00CA1533" w:rsidRPr="004748F8">
        <w:rPr>
          <w:rFonts w:ascii="Palatino" w:hAnsi="Palatino"/>
          <w:b/>
          <w:sz w:val="22"/>
          <w:szCs w:val="22"/>
        </w:rPr>
        <w:t>Energy Conservation</w:t>
      </w:r>
      <w:r w:rsidRPr="004748F8">
        <w:rPr>
          <w:rFonts w:ascii="Palatino" w:hAnsi="Palatino"/>
          <w:b/>
          <w:sz w:val="22"/>
          <w:szCs w:val="22"/>
        </w:rPr>
        <w:t>.</w:t>
      </w:r>
    </w:p>
    <w:p w14:paraId="40605A6D" w14:textId="77777777" w:rsidR="00CA1533" w:rsidRPr="00CA1533" w:rsidRDefault="00CA1533" w:rsidP="00CA1533">
      <w:pPr>
        <w:widowControl w:val="0"/>
        <w:ind w:left="720"/>
        <w:rPr>
          <w:rFonts w:ascii="Palatino" w:hAnsi="Palatino"/>
          <w:sz w:val="22"/>
          <w:szCs w:val="22"/>
        </w:rPr>
      </w:pPr>
    </w:p>
    <w:p w14:paraId="4B79E196" w14:textId="77777777" w:rsidR="00CA1533" w:rsidRPr="00CA1533" w:rsidRDefault="00CA1533" w:rsidP="00CA1533">
      <w:pPr>
        <w:widowControl w:val="0"/>
        <w:ind w:left="720"/>
        <w:rPr>
          <w:rFonts w:ascii="Palatino" w:hAnsi="Palatino"/>
          <w:sz w:val="22"/>
          <w:szCs w:val="22"/>
        </w:rPr>
      </w:pPr>
      <w:r w:rsidRPr="004748F8">
        <w:rPr>
          <w:rFonts w:ascii="Palatino" w:hAnsi="Palatino"/>
          <w:b/>
          <w:sz w:val="22"/>
          <w:szCs w:val="22"/>
        </w:rPr>
        <w:t>Finding:</w:t>
      </w:r>
      <w:r w:rsidRPr="00CA1533">
        <w:rPr>
          <w:rFonts w:ascii="Palatino" w:hAnsi="Palatino"/>
          <w:sz w:val="22"/>
          <w:szCs w:val="22"/>
        </w:rPr>
        <w:t xml:space="preserve"> The proposed text amendments have no impacts on energy use. This Goal does not apply.</w:t>
      </w:r>
    </w:p>
    <w:p w14:paraId="1DD0171A" w14:textId="77777777" w:rsidR="00CA1533" w:rsidRPr="00CA1533" w:rsidRDefault="00CA1533" w:rsidP="00CA1533">
      <w:pPr>
        <w:widowControl w:val="0"/>
        <w:ind w:left="720"/>
        <w:rPr>
          <w:rFonts w:ascii="Palatino" w:hAnsi="Palatino"/>
          <w:sz w:val="22"/>
          <w:szCs w:val="22"/>
        </w:rPr>
      </w:pPr>
    </w:p>
    <w:p w14:paraId="53131198" w14:textId="4B5F50CB" w:rsidR="00CA1533" w:rsidRPr="004748F8" w:rsidRDefault="004748F8" w:rsidP="00CA1533">
      <w:pPr>
        <w:widowControl w:val="0"/>
        <w:ind w:left="720"/>
        <w:rPr>
          <w:rFonts w:ascii="Palatino" w:hAnsi="Palatino"/>
          <w:b/>
          <w:sz w:val="22"/>
          <w:szCs w:val="22"/>
        </w:rPr>
      </w:pPr>
      <w:r w:rsidRPr="004748F8">
        <w:rPr>
          <w:rFonts w:ascii="Palatino" w:hAnsi="Palatino"/>
          <w:b/>
          <w:sz w:val="22"/>
          <w:szCs w:val="22"/>
        </w:rPr>
        <w:t>Goal 14—</w:t>
      </w:r>
      <w:r w:rsidR="00CA1533" w:rsidRPr="004748F8">
        <w:rPr>
          <w:rFonts w:ascii="Palatino" w:hAnsi="Palatino"/>
          <w:b/>
          <w:sz w:val="22"/>
          <w:szCs w:val="22"/>
        </w:rPr>
        <w:t>Urbanization</w:t>
      </w:r>
      <w:r w:rsidRPr="004748F8">
        <w:rPr>
          <w:rFonts w:ascii="Palatino" w:hAnsi="Palatino"/>
          <w:b/>
          <w:sz w:val="22"/>
          <w:szCs w:val="22"/>
        </w:rPr>
        <w:t xml:space="preserve">. </w:t>
      </w:r>
    </w:p>
    <w:p w14:paraId="1D96C332" w14:textId="77777777" w:rsidR="00CA1533" w:rsidRPr="00CA1533" w:rsidRDefault="00CA1533" w:rsidP="00CA1533">
      <w:pPr>
        <w:widowControl w:val="0"/>
        <w:ind w:left="720"/>
        <w:rPr>
          <w:rFonts w:ascii="Palatino" w:hAnsi="Palatino"/>
          <w:sz w:val="22"/>
          <w:szCs w:val="22"/>
        </w:rPr>
      </w:pPr>
    </w:p>
    <w:p w14:paraId="3BCB19E0" w14:textId="77777777" w:rsidR="00CA1533" w:rsidRPr="00CA1533" w:rsidRDefault="00CA1533" w:rsidP="00CA1533">
      <w:pPr>
        <w:widowControl w:val="0"/>
        <w:ind w:left="720"/>
        <w:rPr>
          <w:rFonts w:ascii="Palatino" w:hAnsi="Palatino"/>
          <w:sz w:val="22"/>
          <w:szCs w:val="22"/>
        </w:rPr>
      </w:pPr>
      <w:r w:rsidRPr="000E6785">
        <w:rPr>
          <w:rFonts w:ascii="Palatino" w:hAnsi="Palatino"/>
          <w:b/>
          <w:sz w:val="22"/>
          <w:szCs w:val="22"/>
        </w:rPr>
        <w:t>Finding:</w:t>
      </w:r>
      <w:r w:rsidRPr="00CA1533">
        <w:rPr>
          <w:rFonts w:ascii="Palatino" w:hAnsi="Palatino"/>
          <w:sz w:val="22"/>
          <w:szCs w:val="22"/>
        </w:rPr>
        <w:t xml:space="preserve"> The proposed text amendments do not impact that transition of rural land to urban uses. This Goal does not apply.</w:t>
      </w:r>
    </w:p>
    <w:p w14:paraId="79AC6F80" w14:textId="77777777" w:rsidR="00CA1533" w:rsidRPr="00CA1533" w:rsidRDefault="00CA1533" w:rsidP="00CA1533">
      <w:pPr>
        <w:widowControl w:val="0"/>
        <w:ind w:left="720"/>
        <w:rPr>
          <w:rFonts w:ascii="Palatino" w:hAnsi="Palatino"/>
          <w:sz w:val="22"/>
          <w:szCs w:val="22"/>
        </w:rPr>
      </w:pPr>
    </w:p>
    <w:p w14:paraId="673E8C7D" w14:textId="77777777" w:rsidR="00CA1533" w:rsidRPr="000E6785" w:rsidRDefault="00CA1533" w:rsidP="00CA1533">
      <w:pPr>
        <w:widowControl w:val="0"/>
        <w:ind w:left="720"/>
        <w:rPr>
          <w:rFonts w:ascii="Palatino" w:hAnsi="Palatino"/>
          <w:b/>
          <w:sz w:val="22"/>
          <w:szCs w:val="22"/>
        </w:rPr>
      </w:pPr>
      <w:r w:rsidRPr="000E6785">
        <w:rPr>
          <w:rFonts w:ascii="Palatino" w:hAnsi="Palatino"/>
          <w:b/>
          <w:sz w:val="22"/>
          <w:szCs w:val="22"/>
        </w:rPr>
        <w:t>Goals 15 through 19.</w:t>
      </w:r>
    </w:p>
    <w:p w14:paraId="65A09583" w14:textId="77777777" w:rsidR="00CA1533" w:rsidRPr="00CA1533" w:rsidRDefault="00CA1533" w:rsidP="00CA1533">
      <w:pPr>
        <w:widowControl w:val="0"/>
        <w:ind w:left="720"/>
        <w:rPr>
          <w:rFonts w:ascii="Palatino" w:hAnsi="Palatino"/>
          <w:sz w:val="22"/>
          <w:szCs w:val="22"/>
        </w:rPr>
      </w:pPr>
    </w:p>
    <w:p w14:paraId="2433CE76" w14:textId="5C94B754" w:rsidR="00CA1533" w:rsidRPr="00CA1533" w:rsidRDefault="00CA1533" w:rsidP="00CA1533">
      <w:pPr>
        <w:widowControl w:val="0"/>
        <w:ind w:left="720"/>
        <w:rPr>
          <w:rFonts w:ascii="Palatino" w:hAnsi="Palatino"/>
          <w:sz w:val="22"/>
          <w:szCs w:val="22"/>
        </w:rPr>
      </w:pPr>
      <w:r w:rsidRPr="000E6785">
        <w:rPr>
          <w:rFonts w:ascii="Palatino" w:hAnsi="Palatino"/>
          <w:b/>
          <w:sz w:val="22"/>
          <w:szCs w:val="22"/>
        </w:rPr>
        <w:t>Finding:</w:t>
      </w:r>
      <w:r w:rsidRPr="00CA1533">
        <w:rPr>
          <w:rFonts w:ascii="Palatino" w:hAnsi="Palatino"/>
          <w:sz w:val="22"/>
          <w:szCs w:val="22"/>
        </w:rPr>
        <w:t xml:space="preserve"> Goals 15, 16, 17, 18 and 19 are not applicable because they only pertain to areas within Western Oregon.  </w:t>
      </w:r>
    </w:p>
    <w:p w14:paraId="541E6D78" w14:textId="3DC967B0" w:rsidR="00E157D1" w:rsidRPr="00CA1533" w:rsidRDefault="00E157D1" w:rsidP="004460C7">
      <w:pPr>
        <w:widowControl w:val="0"/>
        <w:ind w:left="810"/>
        <w:rPr>
          <w:rFonts w:ascii="Palatino" w:hAnsi="Palatino"/>
          <w:b/>
          <w:i/>
          <w:sz w:val="22"/>
          <w:szCs w:val="22"/>
        </w:rPr>
      </w:pPr>
    </w:p>
    <w:p w14:paraId="0DC09119" w14:textId="28F8CBD5" w:rsidR="00A87BD5" w:rsidRPr="00A87BD5" w:rsidRDefault="00E157D1" w:rsidP="00A87BD5">
      <w:pPr>
        <w:ind w:left="720"/>
        <w:rPr>
          <w:rFonts w:ascii="Palatino" w:hAnsi="Palatino"/>
          <w:b/>
          <w:i/>
          <w:color w:val="4A442A" w:themeColor="background2" w:themeShade="40"/>
          <w:sz w:val="22"/>
          <w:szCs w:val="22"/>
        </w:rPr>
      </w:pPr>
      <w:r w:rsidRPr="00CA1533">
        <w:rPr>
          <w:rFonts w:ascii="Palatino" w:hAnsi="Palatino"/>
          <w:b/>
          <w:i/>
          <w:sz w:val="22"/>
          <w:szCs w:val="22"/>
        </w:rPr>
        <w:t>2.</w:t>
      </w:r>
      <w:r w:rsidRPr="00CA1533">
        <w:rPr>
          <w:rFonts w:ascii="Palatino" w:hAnsi="Palatino"/>
          <w:b/>
          <w:i/>
          <w:sz w:val="22"/>
          <w:szCs w:val="22"/>
        </w:rPr>
        <w:tab/>
      </w:r>
      <w:r w:rsidR="00A87BD5" w:rsidRPr="00A87BD5">
        <w:rPr>
          <w:rFonts w:ascii="Palatino" w:hAnsi="Palatino"/>
          <w:b/>
          <w:i/>
          <w:color w:val="4A442A" w:themeColor="background2" w:themeShade="40"/>
          <w:sz w:val="22"/>
          <w:szCs w:val="22"/>
        </w:rPr>
        <w:t>Approval of the request is consistent with the Comprehensive Plan; and</w:t>
      </w:r>
    </w:p>
    <w:p w14:paraId="2F8B343D" w14:textId="77777777" w:rsidR="00A87BD5" w:rsidRPr="0091270E" w:rsidRDefault="00A87BD5" w:rsidP="00A87BD5">
      <w:pPr>
        <w:pStyle w:val="ListParagraph"/>
        <w:rPr>
          <w:rFonts w:ascii="Palatino" w:hAnsi="Palatino"/>
          <w:b/>
          <w:i/>
          <w:color w:val="4A442A" w:themeColor="background2" w:themeShade="40"/>
          <w:sz w:val="22"/>
          <w:szCs w:val="22"/>
        </w:rPr>
      </w:pPr>
    </w:p>
    <w:p w14:paraId="0A5FDEEE" w14:textId="2B8CAE3C" w:rsidR="00A87BD5" w:rsidRPr="0091270E" w:rsidRDefault="00A87BD5" w:rsidP="00A87BD5">
      <w:pPr>
        <w:pStyle w:val="ListParagraph"/>
        <w:ind w:left="810"/>
        <w:rPr>
          <w:rFonts w:ascii="Palatino" w:hAnsi="Palatino"/>
          <w:color w:val="4A442A" w:themeColor="background2" w:themeShade="40"/>
          <w:sz w:val="22"/>
          <w:szCs w:val="22"/>
        </w:rPr>
      </w:pPr>
      <w:r w:rsidRPr="0091270E">
        <w:rPr>
          <w:rFonts w:ascii="Palatino" w:hAnsi="Palatino"/>
          <w:b/>
          <w:color w:val="4A442A" w:themeColor="background2" w:themeShade="40"/>
          <w:sz w:val="22"/>
          <w:szCs w:val="22"/>
        </w:rPr>
        <w:t>Finding:</w:t>
      </w:r>
      <w:r w:rsidRPr="0091270E">
        <w:rPr>
          <w:rFonts w:ascii="Palatino" w:hAnsi="Palatino"/>
          <w:color w:val="4A442A" w:themeColor="background2" w:themeShade="40"/>
          <w:sz w:val="22"/>
          <w:szCs w:val="22"/>
        </w:rPr>
        <w:t xml:space="preserve">  The goals and policies of the City’s Comprehensive Plan largely mirror the Statewide Land Use Goal</w:t>
      </w:r>
      <w:r>
        <w:rPr>
          <w:rFonts w:ascii="Palatino" w:hAnsi="Palatino"/>
          <w:color w:val="4A442A" w:themeColor="background2" w:themeShade="40"/>
          <w:sz w:val="22"/>
          <w:szCs w:val="22"/>
        </w:rPr>
        <w:t>s</w:t>
      </w:r>
      <w:r w:rsidRPr="0091270E">
        <w:rPr>
          <w:rFonts w:ascii="Palatino" w:hAnsi="Palatino"/>
          <w:color w:val="4A442A" w:themeColor="background2" w:themeShade="40"/>
          <w:sz w:val="22"/>
          <w:szCs w:val="22"/>
        </w:rPr>
        <w:t xml:space="preserve">.  Accordingly, those goals and policies are either satisfied or not applicable for the same reasons set out in findings for the corresponding statewide land use goal.  There are no provisions of the Comprehensive Plan that directly address code enforcement.  However, the proposed amendments support the broader goals and policies identified in the Comprehensive Plan pertaining to ensuring development </w:t>
      </w:r>
      <w:r>
        <w:rPr>
          <w:rFonts w:ascii="Palatino" w:hAnsi="Palatino"/>
          <w:color w:val="4A442A" w:themeColor="background2" w:themeShade="40"/>
          <w:sz w:val="22"/>
          <w:szCs w:val="22"/>
        </w:rPr>
        <w:t xml:space="preserve">actually occurs in a regulated manner and otherwise in accordance </w:t>
      </w:r>
      <w:r w:rsidRPr="0091270E">
        <w:rPr>
          <w:rFonts w:ascii="Palatino" w:hAnsi="Palatino"/>
          <w:color w:val="4A442A" w:themeColor="background2" w:themeShade="40"/>
          <w:sz w:val="22"/>
          <w:szCs w:val="22"/>
        </w:rPr>
        <w:t>with the principals outlined in the Comprehensive Plan.</w:t>
      </w:r>
    </w:p>
    <w:p w14:paraId="7E3C65DF" w14:textId="07BCC889" w:rsidR="00E157D1" w:rsidRPr="00C95A62" w:rsidRDefault="00E157D1" w:rsidP="00A87BD5">
      <w:pPr>
        <w:widowControl w:val="0"/>
        <w:ind w:left="810"/>
        <w:rPr>
          <w:b/>
          <w:i/>
          <w:szCs w:val="24"/>
        </w:rPr>
      </w:pPr>
    </w:p>
    <w:p w14:paraId="1423C2DF" w14:textId="11718078" w:rsidR="00A87BD5" w:rsidRPr="00A87BD5" w:rsidRDefault="00E157D1" w:rsidP="00A87BD5">
      <w:pPr>
        <w:widowControl w:val="0"/>
        <w:ind w:left="1440" w:hanging="630"/>
        <w:rPr>
          <w:rFonts w:ascii="Palatino" w:hAnsi="Palatino"/>
          <w:i/>
          <w:sz w:val="22"/>
          <w:szCs w:val="24"/>
        </w:rPr>
      </w:pPr>
      <w:r w:rsidRPr="00A87BD5">
        <w:rPr>
          <w:rFonts w:ascii="Palatino" w:hAnsi="Palatino"/>
          <w:i/>
          <w:sz w:val="22"/>
          <w:szCs w:val="24"/>
        </w:rPr>
        <w:t>3.</w:t>
      </w:r>
      <w:r w:rsidRPr="00A87BD5">
        <w:rPr>
          <w:rFonts w:ascii="Palatino" w:hAnsi="Palatino"/>
          <w:i/>
          <w:sz w:val="22"/>
          <w:szCs w:val="24"/>
        </w:rPr>
        <w:tab/>
      </w:r>
      <w:r w:rsidR="00A87BD5" w:rsidRPr="00A87BD5">
        <w:rPr>
          <w:rFonts w:ascii="Palatino" w:hAnsi="Palatino"/>
          <w:b/>
          <w:i/>
          <w:sz w:val="22"/>
          <w:szCs w:val="24"/>
        </w:rPr>
        <w:t>The property and affected area is presently provided with adequate public facilities and services, including transportation, sewer and water systems, to support the use, or such facilities and services are provided for in adopted City plans and can be provided concurrently with the development of the property.</w:t>
      </w:r>
    </w:p>
    <w:p w14:paraId="3AF7AA2C" w14:textId="77777777" w:rsidR="00A87BD5" w:rsidRPr="00A87BD5" w:rsidRDefault="00A87BD5" w:rsidP="00A87BD5">
      <w:pPr>
        <w:widowControl w:val="0"/>
        <w:ind w:left="1440" w:hanging="630"/>
        <w:rPr>
          <w:b/>
          <w:i/>
          <w:szCs w:val="24"/>
        </w:rPr>
      </w:pPr>
    </w:p>
    <w:p w14:paraId="651B6B7D" w14:textId="22683931" w:rsidR="00E90998" w:rsidRPr="00A87BD5" w:rsidRDefault="00A87BD5" w:rsidP="00A87BD5">
      <w:pPr>
        <w:widowControl w:val="0"/>
        <w:ind w:left="720"/>
        <w:jc w:val="both"/>
        <w:rPr>
          <w:rFonts w:ascii="Palatino" w:hAnsi="Palatino"/>
          <w:sz w:val="22"/>
          <w:szCs w:val="24"/>
        </w:rPr>
      </w:pPr>
      <w:r w:rsidRPr="00A87BD5">
        <w:rPr>
          <w:rFonts w:ascii="Palatino" w:hAnsi="Palatino"/>
          <w:b/>
          <w:sz w:val="22"/>
          <w:szCs w:val="24"/>
        </w:rPr>
        <w:t>Finding:</w:t>
      </w:r>
      <w:r>
        <w:rPr>
          <w:rFonts w:ascii="Palatino" w:hAnsi="Palatino"/>
          <w:b/>
          <w:i/>
          <w:sz w:val="22"/>
          <w:szCs w:val="24"/>
        </w:rPr>
        <w:t xml:space="preserve"> </w:t>
      </w:r>
      <w:r w:rsidRPr="00A87BD5">
        <w:rPr>
          <w:rFonts w:ascii="Palatino" w:hAnsi="Palatino"/>
          <w:sz w:val="22"/>
          <w:szCs w:val="24"/>
        </w:rPr>
        <w:t>The amendments affect the entire city of John D</w:t>
      </w:r>
      <w:r>
        <w:rPr>
          <w:rFonts w:ascii="Palatino" w:hAnsi="Palatino"/>
          <w:sz w:val="22"/>
          <w:szCs w:val="24"/>
        </w:rPr>
        <w:t xml:space="preserve">ay, but do not propose or allow </w:t>
      </w:r>
      <w:r w:rsidRPr="00A87BD5">
        <w:rPr>
          <w:rFonts w:ascii="Palatino" w:hAnsi="Palatino"/>
          <w:sz w:val="22"/>
          <w:szCs w:val="24"/>
        </w:rPr>
        <w:t xml:space="preserve">for any particular use.  Therefore, the amendments have no impact on the City’s ability to </w:t>
      </w:r>
      <w:r w:rsidRPr="00A87BD5">
        <w:rPr>
          <w:rFonts w:ascii="Palatino" w:hAnsi="Palatino"/>
          <w:sz w:val="22"/>
          <w:szCs w:val="24"/>
        </w:rPr>
        <w:lastRenderedPageBreak/>
        <w:t>plan for or supply public facilities and services.</w:t>
      </w:r>
    </w:p>
    <w:p w14:paraId="01A3EA68" w14:textId="77777777" w:rsidR="00A87BD5" w:rsidRPr="00A87BD5" w:rsidRDefault="00A87BD5" w:rsidP="00A87BD5">
      <w:pPr>
        <w:widowControl w:val="0"/>
        <w:ind w:left="1440" w:hanging="630"/>
        <w:rPr>
          <w:szCs w:val="24"/>
        </w:rPr>
      </w:pPr>
    </w:p>
    <w:p w14:paraId="51265773" w14:textId="0193009B" w:rsidR="004460C7" w:rsidRPr="00C95A62" w:rsidRDefault="001200BA" w:rsidP="001200BA">
      <w:pPr>
        <w:rPr>
          <w:b/>
          <w:szCs w:val="24"/>
        </w:rPr>
      </w:pPr>
      <w:r w:rsidRPr="00C95A62">
        <w:rPr>
          <w:b/>
          <w:szCs w:val="24"/>
        </w:rPr>
        <w:t>7</w:t>
      </w:r>
      <w:r w:rsidR="004460C7" w:rsidRPr="00C95A62">
        <w:rPr>
          <w:b/>
          <w:szCs w:val="24"/>
        </w:rPr>
        <w:t>.</w:t>
      </w:r>
      <w:r w:rsidR="004460C7" w:rsidRPr="00C95A62">
        <w:rPr>
          <w:b/>
          <w:szCs w:val="24"/>
        </w:rPr>
        <w:tab/>
        <w:t>PLANNING COMMISSION MOTION</w:t>
      </w:r>
    </w:p>
    <w:p w14:paraId="46F5C718" w14:textId="77777777" w:rsidR="004460C7" w:rsidRPr="00C95A62" w:rsidRDefault="004460C7" w:rsidP="004460C7">
      <w:pPr>
        <w:ind w:left="1080"/>
        <w:rPr>
          <w:szCs w:val="24"/>
        </w:rPr>
      </w:pPr>
    </w:p>
    <w:p w14:paraId="5DE3C845" w14:textId="6910C295" w:rsidR="004460C7" w:rsidRPr="00C95A62" w:rsidRDefault="004460C7" w:rsidP="004460C7">
      <w:pPr>
        <w:rPr>
          <w:szCs w:val="24"/>
        </w:rPr>
      </w:pPr>
      <w:r w:rsidRPr="00C95A62">
        <w:rPr>
          <w:szCs w:val="24"/>
        </w:rPr>
        <w:tab/>
        <w:t xml:space="preserve">After hearing the </w:t>
      </w:r>
      <w:r w:rsidR="008A4E44" w:rsidRPr="00C95A62">
        <w:rPr>
          <w:szCs w:val="24"/>
        </w:rPr>
        <w:t>staff</w:t>
      </w:r>
      <w:r w:rsidRPr="00C95A62">
        <w:rPr>
          <w:szCs w:val="24"/>
        </w:rPr>
        <w:t xml:space="preserve"> presentation and any public testimony, including any </w:t>
      </w:r>
      <w:r w:rsidRPr="00C95A62">
        <w:rPr>
          <w:szCs w:val="24"/>
        </w:rPr>
        <w:tab/>
        <w:t xml:space="preserve">rebuttal, the commission will close the hearing and deliberate. The following motion is </w:t>
      </w:r>
      <w:r w:rsidRPr="00C95A62">
        <w:rPr>
          <w:szCs w:val="24"/>
        </w:rPr>
        <w:tab/>
        <w:t>suggested:</w:t>
      </w:r>
    </w:p>
    <w:p w14:paraId="0686F622" w14:textId="77777777" w:rsidR="004460C7" w:rsidRPr="00C95A62" w:rsidRDefault="004460C7" w:rsidP="004460C7">
      <w:pPr>
        <w:rPr>
          <w:szCs w:val="24"/>
        </w:rPr>
      </w:pPr>
    </w:p>
    <w:p w14:paraId="029D1B85" w14:textId="7EB3ECAA" w:rsidR="004460C7" w:rsidRPr="00C95A62" w:rsidRDefault="004460C7" w:rsidP="00BB5B1A">
      <w:pPr>
        <w:ind w:left="720"/>
        <w:rPr>
          <w:szCs w:val="24"/>
          <w:u w:val="single"/>
        </w:rPr>
      </w:pPr>
      <w:r w:rsidRPr="00C95A62">
        <w:rPr>
          <w:szCs w:val="24"/>
          <w:u w:val="single"/>
        </w:rPr>
        <w:t xml:space="preserve">“I move to recommend City Council </w:t>
      </w:r>
      <w:r w:rsidR="00A20E91" w:rsidRPr="00C95A62">
        <w:rPr>
          <w:szCs w:val="24"/>
          <w:u w:val="single"/>
        </w:rPr>
        <w:t>approve AMD</w:t>
      </w:r>
      <w:r w:rsidRPr="00C95A62">
        <w:rPr>
          <w:szCs w:val="24"/>
          <w:u w:val="single"/>
        </w:rPr>
        <w:t>-</w:t>
      </w:r>
      <w:r w:rsidR="002B1E62" w:rsidRPr="00C95A62">
        <w:rPr>
          <w:szCs w:val="24"/>
          <w:u w:val="single"/>
        </w:rPr>
        <w:t>20</w:t>
      </w:r>
      <w:r w:rsidR="006B7E56" w:rsidRPr="00C95A62">
        <w:rPr>
          <w:szCs w:val="24"/>
          <w:u w:val="single"/>
        </w:rPr>
        <w:t>-10</w:t>
      </w:r>
      <w:r w:rsidRPr="00C95A62">
        <w:rPr>
          <w:szCs w:val="24"/>
          <w:u w:val="single"/>
        </w:rPr>
        <w:t xml:space="preserve"> based on the findings contained in the staff report </w:t>
      </w:r>
      <w:r w:rsidR="00BB5B1A" w:rsidRPr="00C95A62">
        <w:rPr>
          <w:szCs w:val="24"/>
          <w:u w:val="single"/>
        </w:rPr>
        <w:t>[with conditions or a</w:t>
      </w:r>
      <w:r w:rsidR="0064307E" w:rsidRPr="00C95A62">
        <w:rPr>
          <w:szCs w:val="24"/>
          <w:u w:val="single"/>
        </w:rPr>
        <w:t>mendments to Ordinance No. 20-187</w:t>
      </w:r>
      <w:r w:rsidR="00BB5B1A" w:rsidRPr="00C95A62">
        <w:rPr>
          <w:szCs w:val="24"/>
          <w:u w:val="single"/>
        </w:rPr>
        <w:t>-</w:t>
      </w:r>
      <w:r w:rsidR="0064307E" w:rsidRPr="00C95A62">
        <w:rPr>
          <w:szCs w:val="24"/>
          <w:u w:val="single"/>
        </w:rPr>
        <w:t>08</w:t>
      </w:r>
      <w:r w:rsidR="00BB5B1A" w:rsidRPr="00C95A62">
        <w:rPr>
          <w:szCs w:val="24"/>
          <w:u w:val="single"/>
        </w:rPr>
        <w:t>, if any].”</w:t>
      </w:r>
    </w:p>
    <w:p w14:paraId="60357463" w14:textId="77777777" w:rsidR="004460C7" w:rsidRPr="00C95A62" w:rsidRDefault="004460C7" w:rsidP="004460C7">
      <w:pPr>
        <w:rPr>
          <w:szCs w:val="24"/>
        </w:rPr>
      </w:pPr>
    </w:p>
    <w:p w14:paraId="4C90952D" w14:textId="1F8E0E27" w:rsidR="008A4E44" w:rsidRPr="00C95A62" w:rsidRDefault="004460C7" w:rsidP="004460C7">
      <w:pPr>
        <w:rPr>
          <w:i/>
          <w:szCs w:val="24"/>
        </w:rPr>
      </w:pPr>
      <w:r w:rsidRPr="00C95A62">
        <w:rPr>
          <w:i/>
          <w:szCs w:val="24"/>
        </w:rPr>
        <w:tab/>
        <w:t xml:space="preserve">The staff report may be amended during the course of the hearing. </w:t>
      </w:r>
    </w:p>
    <w:p w14:paraId="03AD9A40" w14:textId="77777777" w:rsidR="004460C7" w:rsidRPr="00E32755" w:rsidRDefault="004460C7" w:rsidP="004460C7">
      <w:pPr>
        <w:rPr>
          <w:rFonts w:ascii="Palatino" w:hAnsi="Palatino"/>
          <w:b/>
          <w:sz w:val="22"/>
          <w:szCs w:val="24"/>
        </w:rPr>
      </w:pPr>
    </w:p>
    <w:p w14:paraId="1FB8ED05" w14:textId="613493A8" w:rsidR="004460C7" w:rsidRPr="00E32755" w:rsidRDefault="004460C7" w:rsidP="004460C7">
      <w:pPr>
        <w:rPr>
          <w:rFonts w:ascii="Palatino" w:hAnsi="Palatino"/>
          <w:sz w:val="22"/>
          <w:szCs w:val="24"/>
        </w:rPr>
      </w:pPr>
    </w:p>
    <w:p w14:paraId="75BB4898" w14:textId="22266019" w:rsidR="00226ADF" w:rsidRPr="00E32755" w:rsidRDefault="00226ADF" w:rsidP="00226ADF">
      <w:pPr>
        <w:ind w:right="360"/>
        <w:jc w:val="both"/>
        <w:rPr>
          <w:rFonts w:ascii="Palatino" w:hAnsi="Palatino"/>
          <w:sz w:val="22"/>
          <w:szCs w:val="24"/>
        </w:rPr>
      </w:pPr>
      <w:r w:rsidRPr="00E32755">
        <w:rPr>
          <w:rFonts w:ascii="Palatino" w:hAnsi="Palatino"/>
          <w:b/>
          <w:bCs/>
          <w:sz w:val="22"/>
          <w:szCs w:val="24"/>
        </w:rPr>
        <w:t>RECOMMENDED TO THE CITY COUNCIL</w:t>
      </w:r>
      <w:r w:rsidRPr="00E32755">
        <w:rPr>
          <w:rFonts w:ascii="Palatino" w:hAnsi="Palatino"/>
          <w:sz w:val="22"/>
          <w:szCs w:val="24"/>
        </w:rPr>
        <w:t xml:space="preserve"> by the John Day Planning Commission this </w:t>
      </w:r>
      <w:r w:rsidR="00E32755" w:rsidRPr="00E32755">
        <w:rPr>
          <w:rFonts w:ascii="Palatino" w:hAnsi="Palatino"/>
          <w:sz w:val="22"/>
          <w:szCs w:val="24"/>
        </w:rPr>
        <w:t>7</w:t>
      </w:r>
      <w:r w:rsidR="00E32755" w:rsidRPr="00E32755">
        <w:rPr>
          <w:rFonts w:ascii="Palatino" w:hAnsi="Palatino"/>
          <w:sz w:val="22"/>
          <w:szCs w:val="24"/>
          <w:vertAlign w:val="superscript"/>
        </w:rPr>
        <w:t>th</w:t>
      </w:r>
      <w:r w:rsidR="00E32755" w:rsidRPr="00E32755">
        <w:rPr>
          <w:rFonts w:ascii="Palatino" w:hAnsi="Palatino"/>
          <w:sz w:val="22"/>
          <w:szCs w:val="24"/>
        </w:rPr>
        <w:t xml:space="preserve"> day of April</w:t>
      </w:r>
      <w:r w:rsidR="005C054E" w:rsidRPr="00E32755">
        <w:rPr>
          <w:rFonts w:ascii="Palatino" w:hAnsi="Palatino"/>
          <w:sz w:val="22"/>
          <w:szCs w:val="24"/>
        </w:rPr>
        <w:t xml:space="preserve">, 2021. </w:t>
      </w:r>
    </w:p>
    <w:p w14:paraId="2CDCDF04" w14:textId="77777777" w:rsidR="00226ADF" w:rsidRPr="00C95A62" w:rsidRDefault="00226ADF" w:rsidP="00226ADF">
      <w:pPr>
        <w:ind w:right="360"/>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878"/>
        <w:gridCol w:w="1965"/>
        <w:gridCol w:w="3320"/>
      </w:tblGrid>
      <w:tr w:rsidR="00226ADF" w:rsidRPr="00E32755" w14:paraId="5A673E4D" w14:textId="77777777" w:rsidTr="008348B7">
        <w:tc>
          <w:tcPr>
            <w:tcW w:w="3197" w:type="dxa"/>
          </w:tcPr>
          <w:p w14:paraId="30645BC5" w14:textId="77777777" w:rsidR="00226ADF" w:rsidRPr="00E32755" w:rsidRDefault="00226ADF" w:rsidP="008348B7">
            <w:pPr>
              <w:pStyle w:val="Default"/>
              <w:jc w:val="right"/>
              <w:rPr>
                <w:rFonts w:ascii="Palatino" w:hAnsi="Palatino" w:cs="Times New Roman"/>
                <w:sz w:val="22"/>
                <w:szCs w:val="22"/>
              </w:rPr>
            </w:pPr>
            <w:r w:rsidRPr="00E32755">
              <w:rPr>
                <w:rFonts w:ascii="Palatino" w:hAnsi="Palatino" w:cs="Times New Roman"/>
                <w:sz w:val="22"/>
                <w:szCs w:val="22"/>
              </w:rPr>
              <w:t xml:space="preserve">Ayes: </w:t>
            </w:r>
          </w:p>
        </w:tc>
        <w:tc>
          <w:tcPr>
            <w:tcW w:w="878" w:type="dxa"/>
            <w:tcBorders>
              <w:bottom w:val="single" w:sz="4" w:space="0" w:color="auto"/>
            </w:tcBorders>
          </w:tcPr>
          <w:p w14:paraId="15215AB4" w14:textId="77777777" w:rsidR="00226ADF" w:rsidRPr="00E32755" w:rsidRDefault="00226ADF" w:rsidP="008348B7">
            <w:pPr>
              <w:pStyle w:val="Default"/>
              <w:rPr>
                <w:rFonts w:ascii="Palatino" w:hAnsi="Palatino" w:cs="Times New Roman"/>
                <w:sz w:val="22"/>
                <w:szCs w:val="22"/>
              </w:rPr>
            </w:pPr>
          </w:p>
        </w:tc>
        <w:tc>
          <w:tcPr>
            <w:tcW w:w="1965" w:type="dxa"/>
          </w:tcPr>
          <w:p w14:paraId="3BA15F77" w14:textId="77777777" w:rsidR="00226ADF" w:rsidRPr="00E32755" w:rsidRDefault="00226ADF" w:rsidP="008348B7">
            <w:pPr>
              <w:pStyle w:val="Default"/>
              <w:rPr>
                <w:rFonts w:ascii="Palatino" w:hAnsi="Palatino" w:cs="Times New Roman"/>
                <w:sz w:val="22"/>
                <w:szCs w:val="22"/>
              </w:rPr>
            </w:pPr>
          </w:p>
        </w:tc>
        <w:tc>
          <w:tcPr>
            <w:tcW w:w="3320" w:type="dxa"/>
          </w:tcPr>
          <w:p w14:paraId="38D83B49" w14:textId="77777777" w:rsidR="00226ADF" w:rsidRPr="00E32755" w:rsidRDefault="00226ADF" w:rsidP="008348B7">
            <w:pPr>
              <w:pStyle w:val="Default"/>
              <w:rPr>
                <w:rFonts w:ascii="Palatino" w:hAnsi="Palatino" w:cs="Times New Roman"/>
                <w:sz w:val="22"/>
                <w:szCs w:val="22"/>
              </w:rPr>
            </w:pPr>
          </w:p>
        </w:tc>
      </w:tr>
      <w:tr w:rsidR="00226ADF" w:rsidRPr="00E32755" w14:paraId="5FF0DF00" w14:textId="77777777" w:rsidTr="008348B7">
        <w:tc>
          <w:tcPr>
            <w:tcW w:w="3197" w:type="dxa"/>
          </w:tcPr>
          <w:p w14:paraId="45CE078F" w14:textId="77777777" w:rsidR="00226ADF" w:rsidRPr="00E32755" w:rsidRDefault="00226ADF" w:rsidP="008348B7">
            <w:pPr>
              <w:pStyle w:val="Default"/>
              <w:jc w:val="right"/>
              <w:rPr>
                <w:rFonts w:ascii="Palatino" w:hAnsi="Palatino" w:cs="Times New Roman"/>
                <w:sz w:val="22"/>
                <w:szCs w:val="22"/>
              </w:rPr>
            </w:pPr>
            <w:r w:rsidRPr="00E32755">
              <w:rPr>
                <w:rFonts w:ascii="Palatino" w:hAnsi="Palatino" w:cs="Times New Roman"/>
                <w:sz w:val="22"/>
                <w:szCs w:val="22"/>
              </w:rPr>
              <w:t xml:space="preserve">Nays: </w:t>
            </w:r>
          </w:p>
        </w:tc>
        <w:tc>
          <w:tcPr>
            <w:tcW w:w="878" w:type="dxa"/>
            <w:tcBorders>
              <w:top w:val="single" w:sz="4" w:space="0" w:color="auto"/>
              <w:bottom w:val="single" w:sz="4" w:space="0" w:color="auto"/>
            </w:tcBorders>
          </w:tcPr>
          <w:p w14:paraId="0C04CEE5" w14:textId="77777777" w:rsidR="00226ADF" w:rsidRPr="00E32755" w:rsidRDefault="00226ADF" w:rsidP="008348B7">
            <w:pPr>
              <w:pStyle w:val="Default"/>
              <w:rPr>
                <w:rFonts w:ascii="Palatino" w:hAnsi="Palatino" w:cs="Times New Roman"/>
                <w:sz w:val="22"/>
                <w:szCs w:val="22"/>
              </w:rPr>
            </w:pPr>
          </w:p>
        </w:tc>
        <w:tc>
          <w:tcPr>
            <w:tcW w:w="1965" w:type="dxa"/>
          </w:tcPr>
          <w:p w14:paraId="2F81E7C8" w14:textId="77777777" w:rsidR="00226ADF" w:rsidRPr="00E32755" w:rsidRDefault="00226ADF" w:rsidP="008348B7">
            <w:pPr>
              <w:pStyle w:val="Default"/>
              <w:rPr>
                <w:rFonts w:ascii="Palatino" w:hAnsi="Palatino" w:cs="Times New Roman"/>
                <w:sz w:val="22"/>
                <w:szCs w:val="22"/>
              </w:rPr>
            </w:pPr>
          </w:p>
        </w:tc>
        <w:tc>
          <w:tcPr>
            <w:tcW w:w="3320" w:type="dxa"/>
          </w:tcPr>
          <w:p w14:paraId="25A5AD2A" w14:textId="77777777" w:rsidR="00226ADF" w:rsidRPr="00E32755" w:rsidRDefault="00226ADF" w:rsidP="008348B7">
            <w:pPr>
              <w:pStyle w:val="Default"/>
              <w:rPr>
                <w:rFonts w:ascii="Palatino" w:hAnsi="Palatino" w:cs="Times New Roman"/>
                <w:sz w:val="22"/>
                <w:szCs w:val="22"/>
              </w:rPr>
            </w:pPr>
          </w:p>
        </w:tc>
      </w:tr>
      <w:tr w:rsidR="00226ADF" w:rsidRPr="00E32755" w14:paraId="5A4917FA" w14:textId="77777777" w:rsidTr="008348B7">
        <w:tc>
          <w:tcPr>
            <w:tcW w:w="3197" w:type="dxa"/>
          </w:tcPr>
          <w:p w14:paraId="36A7EC6D" w14:textId="77777777" w:rsidR="00226ADF" w:rsidRPr="00E32755" w:rsidRDefault="00226ADF" w:rsidP="008348B7">
            <w:pPr>
              <w:pStyle w:val="Default"/>
              <w:jc w:val="right"/>
              <w:rPr>
                <w:rFonts w:ascii="Palatino" w:hAnsi="Palatino" w:cs="Times New Roman"/>
                <w:sz w:val="22"/>
                <w:szCs w:val="22"/>
              </w:rPr>
            </w:pPr>
            <w:r w:rsidRPr="00E32755">
              <w:rPr>
                <w:rFonts w:ascii="Palatino" w:hAnsi="Palatino" w:cs="Times New Roman"/>
                <w:sz w:val="22"/>
                <w:szCs w:val="22"/>
              </w:rPr>
              <w:t xml:space="preserve">Abstentions: </w:t>
            </w:r>
          </w:p>
        </w:tc>
        <w:tc>
          <w:tcPr>
            <w:tcW w:w="878" w:type="dxa"/>
            <w:tcBorders>
              <w:top w:val="single" w:sz="4" w:space="0" w:color="auto"/>
              <w:bottom w:val="single" w:sz="4" w:space="0" w:color="auto"/>
            </w:tcBorders>
          </w:tcPr>
          <w:p w14:paraId="6325DAE0" w14:textId="77777777" w:rsidR="00226ADF" w:rsidRPr="00E32755" w:rsidRDefault="00226ADF" w:rsidP="008348B7">
            <w:pPr>
              <w:pStyle w:val="Default"/>
              <w:rPr>
                <w:rFonts w:ascii="Palatino" w:hAnsi="Palatino" w:cs="Times New Roman"/>
                <w:sz w:val="22"/>
                <w:szCs w:val="22"/>
              </w:rPr>
            </w:pPr>
          </w:p>
        </w:tc>
        <w:tc>
          <w:tcPr>
            <w:tcW w:w="1965" w:type="dxa"/>
          </w:tcPr>
          <w:p w14:paraId="3E4AB5F1" w14:textId="77777777" w:rsidR="00226ADF" w:rsidRPr="00E32755" w:rsidRDefault="00226ADF" w:rsidP="008348B7">
            <w:pPr>
              <w:pStyle w:val="Default"/>
              <w:rPr>
                <w:rFonts w:ascii="Palatino" w:hAnsi="Palatino" w:cs="Times New Roman"/>
                <w:sz w:val="22"/>
                <w:szCs w:val="22"/>
              </w:rPr>
            </w:pPr>
          </w:p>
        </w:tc>
        <w:tc>
          <w:tcPr>
            <w:tcW w:w="3320" w:type="dxa"/>
          </w:tcPr>
          <w:p w14:paraId="5332ADF9" w14:textId="77777777" w:rsidR="00226ADF" w:rsidRPr="00E32755" w:rsidRDefault="00226ADF" w:rsidP="008348B7">
            <w:pPr>
              <w:pStyle w:val="Default"/>
              <w:rPr>
                <w:rFonts w:ascii="Palatino" w:hAnsi="Palatino" w:cs="Times New Roman"/>
                <w:sz w:val="22"/>
                <w:szCs w:val="22"/>
              </w:rPr>
            </w:pPr>
          </w:p>
        </w:tc>
      </w:tr>
      <w:tr w:rsidR="00226ADF" w:rsidRPr="00E32755" w14:paraId="2947F49E" w14:textId="77777777" w:rsidTr="008348B7">
        <w:tc>
          <w:tcPr>
            <w:tcW w:w="3197" w:type="dxa"/>
          </w:tcPr>
          <w:p w14:paraId="4129A896" w14:textId="77777777" w:rsidR="00226ADF" w:rsidRPr="00E32755" w:rsidRDefault="00226ADF" w:rsidP="008348B7">
            <w:pPr>
              <w:pStyle w:val="Default"/>
              <w:jc w:val="right"/>
              <w:rPr>
                <w:rFonts w:ascii="Palatino" w:hAnsi="Palatino" w:cs="Times New Roman"/>
                <w:sz w:val="22"/>
                <w:szCs w:val="22"/>
              </w:rPr>
            </w:pPr>
            <w:r w:rsidRPr="00E32755">
              <w:rPr>
                <w:rFonts w:ascii="Palatino" w:hAnsi="Palatino" w:cs="Times New Roman"/>
                <w:sz w:val="22"/>
                <w:szCs w:val="22"/>
              </w:rPr>
              <w:t xml:space="preserve">Absent: </w:t>
            </w:r>
          </w:p>
        </w:tc>
        <w:tc>
          <w:tcPr>
            <w:tcW w:w="878" w:type="dxa"/>
            <w:tcBorders>
              <w:top w:val="single" w:sz="4" w:space="0" w:color="auto"/>
              <w:bottom w:val="single" w:sz="4" w:space="0" w:color="auto"/>
            </w:tcBorders>
          </w:tcPr>
          <w:p w14:paraId="7635695E" w14:textId="77777777" w:rsidR="00226ADF" w:rsidRPr="00E32755" w:rsidRDefault="00226ADF" w:rsidP="008348B7">
            <w:pPr>
              <w:pStyle w:val="Default"/>
              <w:rPr>
                <w:rFonts w:ascii="Palatino" w:hAnsi="Palatino" w:cs="Times New Roman"/>
                <w:sz w:val="22"/>
                <w:szCs w:val="22"/>
              </w:rPr>
            </w:pPr>
          </w:p>
        </w:tc>
        <w:tc>
          <w:tcPr>
            <w:tcW w:w="1965" w:type="dxa"/>
          </w:tcPr>
          <w:p w14:paraId="7A18240B" w14:textId="77777777" w:rsidR="00226ADF" w:rsidRPr="00E32755" w:rsidRDefault="00226ADF" w:rsidP="008348B7">
            <w:pPr>
              <w:pStyle w:val="Default"/>
              <w:rPr>
                <w:rFonts w:ascii="Palatino" w:hAnsi="Palatino" w:cs="Times New Roman"/>
                <w:sz w:val="22"/>
                <w:szCs w:val="22"/>
              </w:rPr>
            </w:pPr>
          </w:p>
        </w:tc>
        <w:tc>
          <w:tcPr>
            <w:tcW w:w="3320" w:type="dxa"/>
          </w:tcPr>
          <w:p w14:paraId="0B2BC597" w14:textId="77777777" w:rsidR="00226ADF" w:rsidRPr="00E32755" w:rsidRDefault="00226ADF" w:rsidP="008348B7">
            <w:pPr>
              <w:pStyle w:val="Default"/>
              <w:rPr>
                <w:rFonts w:ascii="Palatino" w:hAnsi="Palatino" w:cs="Times New Roman"/>
                <w:sz w:val="22"/>
                <w:szCs w:val="22"/>
              </w:rPr>
            </w:pPr>
          </w:p>
        </w:tc>
      </w:tr>
      <w:tr w:rsidR="00226ADF" w:rsidRPr="00E32755" w14:paraId="079901B0" w14:textId="77777777" w:rsidTr="008348B7">
        <w:tc>
          <w:tcPr>
            <w:tcW w:w="3197" w:type="dxa"/>
          </w:tcPr>
          <w:p w14:paraId="4880252B" w14:textId="77777777" w:rsidR="00226ADF" w:rsidRPr="00E32755" w:rsidRDefault="00226ADF" w:rsidP="008348B7">
            <w:pPr>
              <w:widowControl w:val="0"/>
              <w:jc w:val="right"/>
              <w:rPr>
                <w:rFonts w:ascii="Palatino" w:hAnsi="Palatino"/>
                <w:sz w:val="22"/>
                <w:szCs w:val="22"/>
              </w:rPr>
            </w:pPr>
            <w:r w:rsidRPr="00E32755">
              <w:rPr>
                <w:rFonts w:ascii="Palatino" w:hAnsi="Palatino"/>
                <w:sz w:val="22"/>
                <w:szCs w:val="22"/>
              </w:rPr>
              <w:t>Vacancies:</w:t>
            </w:r>
          </w:p>
        </w:tc>
        <w:tc>
          <w:tcPr>
            <w:tcW w:w="878" w:type="dxa"/>
            <w:tcBorders>
              <w:top w:val="single" w:sz="4" w:space="0" w:color="auto"/>
              <w:bottom w:val="single" w:sz="4" w:space="0" w:color="auto"/>
            </w:tcBorders>
          </w:tcPr>
          <w:p w14:paraId="771EBF4E" w14:textId="77777777" w:rsidR="00226ADF" w:rsidRPr="00E32755" w:rsidRDefault="00226ADF" w:rsidP="008348B7">
            <w:pPr>
              <w:widowControl w:val="0"/>
              <w:rPr>
                <w:rFonts w:ascii="Palatino" w:hAnsi="Palatino"/>
                <w:snapToGrid w:val="0"/>
                <w:sz w:val="22"/>
                <w:szCs w:val="22"/>
              </w:rPr>
            </w:pPr>
          </w:p>
        </w:tc>
        <w:tc>
          <w:tcPr>
            <w:tcW w:w="1965" w:type="dxa"/>
          </w:tcPr>
          <w:p w14:paraId="719E079F" w14:textId="77777777" w:rsidR="00226ADF" w:rsidRPr="00E32755" w:rsidRDefault="00226ADF" w:rsidP="008348B7">
            <w:pPr>
              <w:widowControl w:val="0"/>
              <w:rPr>
                <w:rFonts w:ascii="Palatino" w:hAnsi="Palatino"/>
                <w:snapToGrid w:val="0"/>
                <w:sz w:val="22"/>
                <w:szCs w:val="22"/>
              </w:rPr>
            </w:pPr>
          </w:p>
        </w:tc>
        <w:tc>
          <w:tcPr>
            <w:tcW w:w="3320" w:type="dxa"/>
          </w:tcPr>
          <w:p w14:paraId="56975B5E" w14:textId="77777777" w:rsidR="00226ADF" w:rsidRPr="00E32755" w:rsidRDefault="00226ADF" w:rsidP="008348B7">
            <w:pPr>
              <w:widowControl w:val="0"/>
              <w:rPr>
                <w:rFonts w:ascii="Palatino" w:hAnsi="Palatino"/>
                <w:snapToGrid w:val="0"/>
                <w:sz w:val="22"/>
                <w:szCs w:val="22"/>
              </w:rPr>
            </w:pPr>
          </w:p>
        </w:tc>
      </w:tr>
      <w:tr w:rsidR="00226ADF" w:rsidRPr="00E32755" w14:paraId="7C9939DB" w14:textId="77777777" w:rsidTr="008348B7">
        <w:tc>
          <w:tcPr>
            <w:tcW w:w="3197" w:type="dxa"/>
          </w:tcPr>
          <w:p w14:paraId="13E27CEE" w14:textId="77777777" w:rsidR="00226ADF" w:rsidRPr="00E32755" w:rsidRDefault="00226ADF" w:rsidP="008348B7">
            <w:pPr>
              <w:widowControl w:val="0"/>
              <w:jc w:val="right"/>
              <w:rPr>
                <w:rFonts w:ascii="Palatino" w:hAnsi="Palatino"/>
                <w:sz w:val="22"/>
                <w:szCs w:val="22"/>
              </w:rPr>
            </w:pPr>
          </w:p>
        </w:tc>
        <w:tc>
          <w:tcPr>
            <w:tcW w:w="878" w:type="dxa"/>
            <w:tcBorders>
              <w:top w:val="single" w:sz="4" w:space="0" w:color="auto"/>
            </w:tcBorders>
          </w:tcPr>
          <w:p w14:paraId="72DF6E94" w14:textId="77777777" w:rsidR="00226ADF" w:rsidRPr="00E32755" w:rsidRDefault="00226ADF" w:rsidP="008348B7">
            <w:pPr>
              <w:widowControl w:val="0"/>
              <w:rPr>
                <w:rFonts w:ascii="Palatino" w:hAnsi="Palatino"/>
                <w:snapToGrid w:val="0"/>
                <w:sz w:val="22"/>
                <w:szCs w:val="22"/>
              </w:rPr>
            </w:pPr>
          </w:p>
        </w:tc>
        <w:tc>
          <w:tcPr>
            <w:tcW w:w="1965" w:type="dxa"/>
          </w:tcPr>
          <w:p w14:paraId="00A225D8" w14:textId="77777777" w:rsidR="00226ADF" w:rsidRPr="00E32755" w:rsidRDefault="00226ADF" w:rsidP="008348B7">
            <w:pPr>
              <w:widowControl w:val="0"/>
              <w:rPr>
                <w:rFonts w:ascii="Palatino" w:hAnsi="Palatino"/>
                <w:snapToGrid w:val="0"/>
                <w:sz w:val="22"/>
                <w:szCs w:val="22"/>
              </w:rPr>
            </w:pPr>
          </w:p>
        </w:tc>
        <w:tc>
          <w:tcPr>
            <w:tcW w:w="3320" w:type="dxa"/>
          </w:tcPr>
          <w:p w14:paraId="67928F88" w14:textId="77777777" w:rsidR="00226ADF" w:rsidRPr="00E32755" w:rsidRDefault="00226ADF" w:rsidP="008348B7">
            <w:pPr>
              <w:widowControl w:val="0"/>
              <w:rPr>
                <w:rFonts w:ascii="Palatino" w:hAnsi="Palatino"/>
                <w:snapToGrid w:val="0"/>
                <w:sz w:val="22"/>
                <w:szCs w:val="22"/>
              </w:rPr>
            </w:pPr>
          </w:p>
        </w:tc>
      </w:tr>
      <w:tr w:rsidR="00226ADF" w:rsidRPr="00E32755" w14:paraId="7597E3B0" w14:textId="77777777" w:rsidTr="008348B7">
        <w:tc>
          <w:tcPr>
            <w:tcW w:w="3197" w:type="dxa"/>
          </w:tcPr>
          <w:p w14:paraId="47F76906" w14:textId="0299DFC3" w:rsidR="00226ADF" w:rsidRPr="00E32755" w:rsidRDefault="00226ADF" w:rsidP="008348B7">
            <w:pPr>
              <w:widowControl w:val="0"/>
              <w:rPr>
                <w:rFonts w:ascii="Palatino" w:hAnsi="Palatino"/>
                <w:sz w:val="22"/>
                <w:szCs w:val="22"/>
              </w:rPr>
            </w:pPr>
            <w:r w:rsidRPr="00E32755">
              <w:rPr>
                <w:rFonts w:ascii="Palatino" w:hAnsi="Palatino"/>
                <w:sz w:val="22"/>
                <w:szCs w:val="22"/>
              </w:rPr>
              <w:t>ORDERED:</w:t>
            </w:r>
          </w:p>
          <w:p w14:paraId="6429EA12" w14:textId="468CC1A9" w:rsidR="00226ADF" w:rsidRPr="00E32755" w:rsidRDefault="00226ADF" w:rsidP="008348B7">
            <w:pPr>
              <w:widowControl w:val="0"/>
              <w:rPr>
                <w:rFonts w:ascii="Palatino" w:hAnsi="Palatino"/>
                <w:sz w:val="22"/>
                <w:szCs w:val="22"/>
              </w:rPr>
            </w:pPr>
          </w:p>
          <w:p w14:paraId="20EE5C85" w14:textId="595470BD" w:rsidR="00226ADF" w:rsidRPr="00E32755" w:rsidRDefault="00226ADF" w:rsidP="008348B7">
            <w:pPr>
              <w:widowControl w:val="0"/>
              <w:rPr>
                <w:rFonts w:ascii="Palatino" w:hAnsi="Palatino"/>
                <w:sz w:val="22"/>
                <w:szCs w:val="22"/>
              </w:rPr>
            </w:pPr>
          </w:p>
          <w:p w14:paraId="1775E9C4" w14:textId="0A17DE9B" w:rsidR="00226ADF" w:rsidRPr="00E32755" w:rsidRDefault="00226ADF" w:rsidP="008348B7">
            <w:pPr>
              <w:widowControl w:val="0"/>
              <w:rPr>
                <w:rFonts w:ascii="Palatino" w:hAnsi="Palatino"/>
                <w:sz w:val="22"/>
                <w:szCs w:val="22"/>
              </w:rPr>
            </w:pPr>
          </w:p>
          <w:p w14:paraId="50C39D73" w14:textId="23CE83E1" w:rsidR="00226ADF" w:rsidRPr="00E32755" w:rsidRDefault="00226ADF" w:rsidP="008348B7">
            <w:pPr>
              <w:widowControl w:val="0"/>
              <w:rPr>
                <w:rFonts w:ascii="Palatino" w:hAnsi="Palatino"/>
                <w:sz w:val="22"/>
                <w:szCs w:val="22"/>
              </w:rPr>
            </w:pPr>
            <w:r w:rsidRPr="00E32755">
              <w:rPr>
                <w:rFonts w:ascii="Palatino" w:hAnsi="Palatino"/>
                <w:sz w:val="22"/>
                <w:szCs w:val="22"/>
              </w:rPr>
              <w:t>_________________________</w:t>
            </w:r>
          </w:p>
          <w:p w14:paraId="44A61A57" w14:textId="5C3A63F9" w:rsidR="00226ADF" w:rsidRPr="00E32755" w:rsidRDefault="00226ADF" w:rsidP="008348B7">
            <w:pPr>
              <w:widowControl w:val="0"/>
              <w:rPr>
                <w:rFonts w:ascii="Palatino" w:hAnsi="Palatino"/>
                <w:sz w:val="22"/>
                <w:szCs w:val="22"/>
              </w:rPr>
            </w:pPr>
            <w:r w:rsidRPr="00E32755">
              <w:rPr>
                <w:rFonts w:ascii="Palatino" w:hAnsi="Palatino"/>
                <w:sz w:val="22"/>
                <w:szCs w:val="22"/>
              </w:rPr>
              <w:t>Ken Boethin, Chair</w:t>
            </w:r>
          </w:p>
          <w:p w14:paraId="6528E3B1" w14:textId="77777777" w:rsidR="00226ADF" w:rsidRPr="00E32755" w:rsidRDefault="00226ADF" w:rsidP="008348B7">
            <w:pPr>
              <w:widowControl w:val="0"/>
              <w:rPr>
                <w:rFonts w:ascii="Palatino" w:hAnsi="Palatino"/>
                <w:sz w:val="22"/>
                <w:szCs w:val="22"/>
              </w:rPr>
            </w:pPr>
          </w:p>
          <w:p w14:paraId="7B3112F5" w14:textId="77777777" w:rsidR="00226ADF" w:rsidRPr="00E32755" w:rsidRDefault="00226ADF" w:rsidP="008348B7">
            <w:pPr>
              <w:widowControl w:val="0"/>
              <w:rPr>
                <w:rFonts w:ascii="Palatino" w:hAnsi="Palatino"/>
                <w:sz w:val="22"/>
                <w:szCs w:val="22"/>
              </w:rPr>
            </w:pPr>
          </w:p>
          <w:p w14:paraId="1D4D8FFB" w14:textId="01FDA860" w:rsidR="00226ADF" w:rsidRPr="00E32755" w:rsidRDefault="00226ADF" w:rsidP="008348B7">
            <w:pPr>
              <w:widowControl w:val="0"/>
              <w:rPr>
                <w:rFonts w:ascii="Palatino" w:hAnsi="Palatino"/>
                <w:sz w:val="22"/>
                <w:szCs w:val="22"/>
              </w:rPr>
            </w:pPr>
            <w:r w:rsidRPr="00E32755">
              <w:rPr>
                <w:rFonts w:ascii="Palatino" w:hAnsi="Palatino"/>
                <w:sz w:val="22"/>
                <w:szCs w:val="22"/>
              </w:rPr>
              <w:t>ATTEST:</w:t>
            </w:r>
          </w:p>
        </w:tc>
        <w:tc>
          <w:tcPr>
            <w:tcW w:w="878" w:type="dxa"/>
          </w:tcPr>
          <w:p w14:paraId="439948C1" w14:textId="77777777" w:rsidR="00226ADF" w:rsidRPr="00E32755" w:rsidRDefault="00226ADF" w:rsidP="008348B7">
            <w:pPr>
              <w:widowControl w:val="0"/>
              <w:rPr>
                <w:rFonts w:ascii="Palatino" w:hAnsi="Palatino"/>
                <w:snapToGrid w:val="0"/>
                <w:sz w:val="22"/>
                <w:szCs w:val="22"/>
              </w:rPr>
            </w:pPr>
          </w:p>
        </w:tc>
        <w:tc>
          <w:tcPr>
            <w:tcW w:w="1965" w:type="dxa"/>
          </w:tcPr>
          <w:p w14:paraId="6A88F345" w14:textId="77777777" w:rsidR="00226ADF" w:rsidRPr="00E32755" w:rsidRDefault="00226ADF" w:rsidP="008348B7">
            <w:pPr>
              <w:widowControl w:val="0"/>
              <w:rPr>
                <w:rFonts w:ascii="Palatino" w:hAnsi="Palatino"/>
                <w:snapToGrid w:val="0"/>
                <w:sz w:val="22"/>
                <w:szCs w:val="22"/>
              </w:rPr>
            </w:pPr>
          </w:p>
        </w:tc>
        <w:tc>
          <w:tcPr>
            <w:tcW w:w="3320" w:type="dxa"/>
          </w:tcPr>
          <w:p w14:paraId="22E99222" w14:textId="77777777" w:rsidR="00226ADF" w:rsidRPr="00E32755" w:rsidRDefault="00226ADF" w:rsidP="008348B7">
            <w:pPr>
              <w:widowControl w:val="0"/>
              <w:rPr>
                <w:rFonts w:ascii="Palatino" w:hAnsi="Palatino"/>
                <w:snapToGrid w:val="0"/>
                <w:sz w:val="22"/>
                <w:szCs w:val="22"/>
              </w:rPr>
            </w:pPr>
          </w:p>
        </w:tc>
      </w:tr>
      <w:tr w:rsidR="00226ADF" w:rsidRPr="00E32755" w14:paraId="3B3F442A" w14:textId="77777777" w:rsidTr="008348B7">
        <w:tc>
          <w:tcPr>
            <w:tcW w:w="3197" w:type="dxa"/>
          </w:tcPr>
          <w:p w14:paraId="5F06BFC3" w14:textId="77777777" w:rsidR="00226ADF" w:rsidRPr="00E32755" w:rsidRDefault="00226ADF" w:rsidP="008348B7">
            <w:pPr>
              <w:widowControl w:val="0"/>
              <w:rPr>
                <w:rFonts w:ascii="Palatino" w:hAnsi="Palatino"/>
                <w:sz w:val="22"/>
                <w:szCs w:val="22"/>
              </w:rPr>
            </w:pPr>
          </w:p>
        </w:tc>
        <w:tc>
          <w:tcPr>
            <w:tcW w:w="878" w:type="dxa"/>
          </w:tcPr>
          <w:p w14:paraId="20F77A2D" w14:textId="77777777" w:rsidR="00226ADF" w:rsidRPr="00E32755" w:rsidRDefault="00226ADF" w:rsidP="008348B7">
            <w:pPr>
              <w:widowControl w:val="0"/>
              <w:rPr>
                <w:rFonts w:ascii="Palatino" w:hAnsi="Palatino"/>
                <w:snapToGrid w:val="0"/>
                <w:sz w:val="22"/>
                <w:szCs w:val="22"/>
              </w:rPr>
            </w:pPr>
          </w:p>
        </w:tc>
        <w:tc>
          <w:tcPr>
            <w:tcW w:w="1965" w:type="dxa"/>
          </w:tcPr>
          <w:p w14:paraId="5116DE1F" w14:textId="77777777" w:rsidR="00226ADF" w:rsidRPr="00E32755" w:rsidRDefault="00226ADF" w:rsidP="008348B7">
            <w:pPr>
              <w:widowControl w:val="0"/>
              <w:rPr>
                <w:rFonts w:ascii="Palatino" w:hAnsi="Palatino"/>
                <w:snapToGrid w:val="0"/>
                <w:sz w:val="22"/>
                <w:szCs w:val="22"/>
              </w:rPr>
            </w:pPr>
          </w:p>
        </w:tc>
        <w:tc>
          <w:tcPr>
            <w:tcW w:w="3320" w:type="dxa"/>
          </w:tcPr>
          <w:p w14:paraId="755439EE" w14:textId="77777777" w:rsidR="00226ADF" w:rsidRPr="00E32755" w:rsidRDefault="00226ADF" w:rsidP="008348B7">
            <w:pPr>
              <w:widowControl w:val="0"/>
              <w:rPr>
                <w:rFonts w:ascii="Palatino" w:hAnsi="Palatino"/>
                <w:snapToGrid w:val="0"/>
                <w:sz w:val="22"/>
                <w:szCs w:val="22"/>
              </w:rPr>
            </w:pPr>
          </w:p>
        </w:tc>
      </w:tr>
      <w:tr w:rsidR="00226ADF" w:rsidRPr="00E32755" w14:paraId="263A72BA" w14:textId="77777777" w:rsidTr="008348B7">
        <w:tc>
          <w:tcPr>
            <w:tcW w:w="3197" w:type="dxa"/>
          </w:tcPr>
          <w:p w14:paraId="0526DDE5" w14:textId="77777777" w:rsidR="00226ADF" w:rsidRPr="00E32755" w:rsidRDefault="00226ADF" w:rsidP="008348B7">
            <w:pPr>
              <w:widowControl w:val="0"/>
              <w:rPr>
                <w:rFonts w:ascii="Palatino" w:hAnsi="Palatino"/>
                <w:sz w:val="22"/>
                <w:szCs w:val="22"/>
              </w:rPr>
            </w:pPr>
          </w:p>
        </w:tc>
        <w:tc>
          <w:tcPr>
            <w:tcW w:w="878" w:type="dxa"/>
          </w:tcPr>
          <w:p w14:paraId="3F1B5D7A" w14:textId="77777777" w:rsidR="00226ADF" w:rsidRPr="00E32755" w:rsidRDefault="00226ADF" w:rsidP="008348B7">
            <w:pPr>
              <w:widowControl w:val="0"/>
              <w:rPr>
                <w:rFonts w:ascii="Palatino" w:hAnsi="Palatino"/>
                <w:snapToGrid w:val="0"/>
                <w:sz w:val="22"/>
                <w:szCs w:val="22"/>
              </w:rPr>
            </w:pPr>
          </w:p>
        </w:tc>
        <w:tc>
          <w:tcPr>
            <w:tcW w:w="1965" w:type="dxa"/>
          </w:tcPr>
          <w:p w14:paraId="17DDEF82" w14:textId="77777777" w:rsidR="00226ADF" w:rsidRPr="00E32755" w:rsidRDefault="00226ADF" w:rsidP="008348B7">
            <w:pPr>
              <w:widowControl w:val="0"/>
              <w:rPr>
                <w:rFonts w:ascii="Palatino" w:hAnsi="Palatino"/>
                <w:snapToGrid w:val="0"/>
                <w:sz w:val="22"/>
                <w:szCs w:val="22"/>
              </w:rPr>
            </w:pPr>
          </w:p>
        </w:tc>
        <w:tc>
          <w:tcPr>
            <w:tcW w:w="3320" w:type="dxa"/>
          </w:tcPr>
          <w:p w14:paraId="383A0E11" w14:textId="77777777" w:rsidR="00226ADF" w:rsidRPr="00E32755" w:rsidRDefault="00226ADF" w:rsidP="008348B7">
            <w:pPr>
              <w:widowControl w:val="0"/>
              <w:rPr>
                <w:rFonts w:ascii="Palatino" w:hAnsi="Palatino"/>
                <w:snapToGrid w:val="0"/>
                <w:sz w:val="22"/>
                <w:szCs w:val="22"/>
              </w:rPr>
            </w:pPr>
          </w:p>
        </w:tc>
      </w:tr>
      <w:tr w:rsidR="00226ADF" w:rsidRPr="00E32755" w14:paraId="71C34C4E" w14:textId="77777777" w:rsidTr="008348B7">
        <w:tc>
          <w:tcPr>
            <w:tcW w:w="3197" w:type="dxa"/>
            <w:tcBorders>
              <w:bottom w:val="single" w:sz="4" w:space="0" w:color="auto"/>
            </w:tcBorders>
          </w:tcPr>
          <w:p w14:paraId="2B50072A" w14:textId="77777777" w:rsidR="00226ADF" w:rsidRPr="00E32755" w:rsidRDefault="00226ADF" w:rsidP="008348B7">
            <w:pPr>
              <w:widowControl w:val="0"/>
              <w:rPr>
                <w:rFonts w:ascii="Palatino" w:hAnsi="Palatino"/>
                <w:sz w:val="22"/>
                <w:szCs w:val="22"/>
              </w:rPr>
            </w:pPr>
          </w:p>
        </w:tc>
        <w:tc>
          <w:tcPr>
            <w:tcW w:w="878" w:type="dxa"/>
          </w:tcPr>
          <w:p w14:paraId="382F9593" w14:textId="77777777" w:rsidR="00226ADF" w:rsidRPr="00E32755" w:rsidRDefault="00226ADF" w:rsidP="008348B7">
            <w:pPr>
              <w:widowControl w:val="0"/>
              <w:rPr>
                <w:rFonts w:ascii="Palatino" w:hAnsi="Palatino"/>
                <w:snapToGrid w:val="0"/>
                <w:sz w:val="22"/>
                <w:szCs w:val="22"/>
              </w:rPr>
            </w:pPr>
          </w:p>
        </w:tc>
        <w:tc>
          <w:tcPr>
            <w:tcW w:w="1965" w:type="dxa"/>
          </w:tcPr>
          <w:p w14:paraId="1489EE8A" w14:textId="77777777" w:rsidR="00226ADF" w:rsidRPr="00E32755" w:rsidRDefault="00226ADF" w:rsidP="008348B7">
            <w:pPr>
              <w:widowControl w:val="0"/>
              <w:rPr>
                <w:rFonts w:ascii="Palatino" w:hAnsi="Palatino"/>
                <w:snapToGrid w:val="0"/>
                <w:sz w:val="22"/>
                <w:szCs w:val="22"/>
              </w:rPr>
            </w:pPr>
          </w:p>
        </w:tc>
        <w:tc>
          <w:tcPr>
            <w:tcW w:w="3320" w:type="dxa"/>
          </w:tcPr>
          <w:p w14:paraId="0A90D836" w14:textId="77777777" w:rsidR="00226ADF" w:rsidRPr="00E32755" w:rsidRDefault="00226ADF" w:rsidP="008348B7">
            <w:pPr>
              <w:widowControl w:val="0"/>
              <w:rPr>
                <w:rFonts w:ascii="Palatino" w:hAnsi="Palatino"/>
                <w:snapToGrid w:val="0"/>
                <w:sz w:val="22"/>
                <w:szCs w:val="22"/>
              </w:rPr>
            </w:pPr>
          </w:p>
        </w:tc>
      </w:tr>
      <w:tr w:rsidR="00226ADF" w:rsidRPr="00E32755" w14:paraId="016B91D0" w14:textId="77777777" w:rsidTr="008348B7">
        <w:tc>
          <w:tcPr>
            <w:tcW w:w="3197" w:type="dxa"/>
            <w:tcBorders>
              <w:top w:val="single" w:sz="4" w:space="0" w:color="auto"/>
            </w:tcBorders>
          </w:tcPr>
          <w:p w14:paraId="6C53517B" w14:textId="77777777" w:rsidR="00226ADF" w:rsidRPr="00E32755" w:rsidRDefault="00226ADF" w:rsidP="008348B7">
            <w:pPr>
              <w:widowControl w:val="0"/>
              <w:rPr>
                <w:rFonts w:ascii="Palatino" w:hAnsi="Palatino"/>
                <w:sz w:val="22"/>
                <w:szCs w:val="22"/>
              </w:rPr>
            </w:pPr>
            <w:r w:rsidRPr="00E32755">
              <w:rPr>
                <w:rFonts w:ascii="Palatino" w:hAnsi="Palatino"/>
                <w:sz w:val="22"/>
                <w:szCs w:val="22"/>
              </w:rPr>
              <w:t>Nicholas Green, City Manager</w:t>
            </w:r>
          </w:p>
        </w:tc>
        <w:tc>
          <w:tcPr>
            <w:tcW w:w="878" w:type="dxa"/>
          </w:tcPr>
          <w:p w14:paraId="5369D358" w14:textId="77777777" w:rsidR="00226ADF" w:rsidRPr="00E32755" w:rsidRDefault="00226ADF" w:rsidP="008348B7">
            <w:pPr>
              <w:widowControl w:val="0"/>
              <w:rPr>
                <w:rFonts w:ascii="Palatino" w:hAnsi="Palatino"/>
                <w:snapToGrid w:val="0"/>
                <w:sz w:val="22"/>
                <w:szCs w:val="22"/>
              </w:rPr>
            </w:pPr>
          </w:p>
        </w:tc>
        <w:tc>
          <w:tcPr>
            <w:tcW w:w="1965" w:type="dxa"/>
          </w:tcPr>
          <w:p w14:paraId="1DDDB3F5" w14:textId="77777777" w:rsidR="00226ADF" w:rsidRPr="00E32755" w:rsidRDefault="00226ADF" w:rsidP="008348B7">
            <w:pPr>
              <w:widowControl w:val="0"/>
              <w:rPr>
                <w:rFonts w:ascii="Palatino" w:hAnsi="Palatino"/>
                <w:snapToGrid w:val="0"/>
                <w:sz w:val="22"/>
                <w:szCs w:val="22"/>
              </w:rPr>
            </w:pPr>
          </w:p>
        </w:tc>
        <w:tc>
          <w:tcPr>
            <w:tcW w:w="3320" w:type="dxa"/>
          </w:tcPr>
          <w:p w14:paraId="5D4D8170" w14:textId="77777777" w:rsidR="00226ADF" w:rsidRPr="00E32755" w:rsidRDefault="00226ADF" w:rsidP="008348B7">
            <w:pPr>
              <w:widowControl w:val="0"/>
              <w:rPr>
                <w:rFonts w:ascii="Palatino" w:hAnsi="Palatino"/>
                <w:snapToGrid w:val="0"/>
                <w:sz w:val="22"/>
                <w:szCs w:val="22"/>
              </w:rPr>
            </w:pPr>
          </w:p>
        </w:tc>
      </w:tr>
    </w:tbl>
    <w:p w14:paraId="16C5902A" w14:textId="77777777" w:rsidR="00226ADF" w:rsidRPr="00E32755" w:rsidRDefault="00226ADF" w:rsidP="00226ADF">
      <w:pPr>
        <w:rPr>
          <w:rFonts w:ascii="Palatino" w:hAnsi="Palatino"/>
          <w:sz w:val="22"/>
          <w:szCs w:val="22"/>
        </w:rPr>
      </w:pPr>
    </w:p>
    <w:p w14:paraId="34384632" w14:textId="77777777" w:rsidR="00226ADF" w:rsidRPr="00E32755" w:rsidRDefault="00226ADF" w:rsidP="00226ADF">
      <w:pPr>
        <w:widowControl w:val="0"/>
        <w:rPr>
          <w:rFonts w:ascii="Palatino" w:hAnsi="Palatino"/>
          <w:color w:val="000000"/>
          <w:sz w:val="22"/>
          <w:szCs w:val="22"/>
        </w:rPr>
      </w:pPr>
      <w:r w:rsidRPr="00E32755">
        <w:rPr>
          <w:rFonts w:ascii="Palatino" w:hAnsi="Palatino"/>
          <w:snapToGrid w:val="0"/>
          <w:sz w:val="22"/>
          <w:szCs w:val="22"/>
        </w:rPr>
        <w:tab/>
      </w:r>
    </w:p>
    <w:p w14:paraId="3B7A9790" w14:textId="7DCCB9AD" w:rsidR="00104FC1" w:rsidRPr="00E32755" w:rsidRDefault="00847693" w:rsidP="00226ADF">
      <w:pPr>
        <w:rPr>
          <w:rFonts w:ascii="Palatino" w:hAnsi="Palatino"/>
          <w:sz w:val="22"/>
          <w:szCs w:val="22"/>
        </w:rPr>
      </w:pPr>
      <w:r w:rsidRPr="00E32755">
        <w:rPr>
          <w:rFonts w:ascii="Palatino" w:hAnsi="Palatino"/>
          <w:sz w:val="22"/>
          <w:szCs w:val="22"/>
        </w:rPr>
        <w:t>Enclosures:</w:t>
      </w:r>
    </w:p>
    <w:p w14:paraId="55F73843" w14:textId="7064F939" w:rsidR="00E400EA" w:rsidRPr="00F473E3" w:rsidRDefault="00847693" w:rsidP="00F473E3">
      <w:pPr>
        <w:pStyle w:val="ListParagraph"/>
        <w:numPr>
          <w:ilvl w:val="0"/>
          <w:numId w:val="13"/>
        </w:numPr>
        <w:rPr>
          <w:rFonts w:ascii="Palatino" w:hAnsi="Palatino"/>
          <w:sz w:val="22"/>
          <w:szCs w:val="22"/>
        </w:rPr>
      </w:pPr>
      <w:r w:rsidRPr="00E32755">
        <w:rPr>
          <w:rFonts w:ascii="Palatino" w:hAnsi="Palatino"/>
          <w:sz w:val="22"/>
          <w:szCs w:val="22"/>
        </w:rPr>
        <w:t>Exhibit A. Ordinance No. 20-187-08 (proposed)</w:t>
      </w:r>
    </w:p>
    <w:p w14:paraId="08363597" w14:textId="77777777" w:rsidR="00E400EA" w:rsidRPr="00C95A62" w:rsidRDefault="00E400EA" w:rsidP="00E400EA">
      <w:pPr>
        <w:autoSpaceDE w:val="0"/>
        <w:autoSpaceDN w:val="0"/>
        <w:adjustRightInd w:val="0"/>
        <w:rPr>
          <w:i/>
          <w:iCs/>
          <w:color w:val="000000"/>
          <w:szCs w:val="24"/>
        </w:rPr>
      </w:pPr>
    </w:p>
    <w:p w14:paraId="22B28DC4" w14:textId="77777777" w:rsidR="00E400EA" w:rsidRPr="00C95A62" w:rsidRDefault="00E400EA" w:rsidP="00E400EA">
      <w:pPr>
        <w:autoSpaceDE w:val="0"/>
        <w:autoSpaceDN w:val="0"/>
        <w:adjustRightInd w:val="0"/>
        <w:rPr>
          <w:i/>
          <w:iCs/>
          <w:color w:val="000000"/>
          <w:szCs w:val="24"/>
        </w:rPr>
      </w:pPr>
    </w:p>
    <w:p w14:paraId="36F55C9D" w14:textId="77777777" w:rsidR="00E400EA" w:rsidRPr="00C95A62" w:rsidRDefault="00E400EA" w:rsidP="00E400EA">
      <w:pPr>
        <w:rPr>
          <w:szCs w:val="24"/>
        </w:rPr>
      </w:pPr>
    </w:p>
    <w:p w14:paraId="23BDE91E" w14:textId="6F1D75C6" w:rsidR="00E400EA" w:rsidRPr="00C95A62" w:rsidRDefault="00E400EA" w:rsidP="00226ADF">
      <w:pPr>
        <w:rPr>
          <w:szCs w:val="24"/>
        </w:rPr>
      </w:pPr>
    </w:p>
    <w:sectPr w:rsidR="00E400EA" w:rsidRPr="00C95A62" w:rsidSect="00356D77">
      <w:footerReference w:type="default" r:id="rId10"/>
      <w:pgSz w:w="12240" w:h="15840"/>
      <w:pgMar w:top="1350" w:right="1440" w:bottom="810" w:left="1440" w:header="720" w:footer="720" w:gutter="0"/>
      <w:paperSrc w:first="113" w:other="11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26EE" w14:textId="77777777" w:rsidR="00D70719" w:rsidRDefault="00D70719">
      <w:r>
        <w:separator/>
      </w:r>
    </w:p>
  </w:endnote>
  <w:endnote w:type="continuationSeparator" w:id="0">
    <w:p w14:paraId="30BA7FC5" w14:textId="77777777" w:rsidR="00D70719" w:rsidRDefault="00D7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panose1 w:val="020406020503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417779"/>
      <w:docPartObj>
        <w:docPartGallery w:val="Page Numbers (Bottom of Page)"/>
        <w:docPartUnique/>
      </w:docPartObj>
    </w:sdtPr>
    <w:sdtEndPr>
      <w:rPr>
        <w:noProof/>
      </w:rPr>
    </w:sdtEndPr>
    <w:sdtContent>
      <w:p w14:paraId="7C6FD289" w14:textId="760C7717" w:rsidR="008E67B1" w:rsidRDefault="008E67B1">
        <w:pPr>
          <w:pStyle w:val="Footer"/>
          <w:jc w:val="right"/>
        </w:pPr>
        <w:r>
          <w:fldChar w:fldCharType="begin"/>
        </w:r>
        <w:r>
          <w:instrText xml:space="preserve"> PAGE   \* MERGEFORMAT </w:instrText>
        </w:r>
        <w:r>
          <w:fldChar w:fldCharType="separate"/>
        </w:r>
        <w:r w:rsidR="00C94879">
          <w:rPr>
            <w:noProof/>
          </w:rPr>
          <w:t>7</w:t>
        </w:r>
        <w:r>
          <w:rPr>
            <w:noProof/>
          </w:rPr>
          <w:fldChar w:fldCharType="end"/>
        </w:r>
      </w:p>
    </w:sdtContent>
  </w:sdt>
  <w:p w14:paraId="2C8B90A6" w14:textId="57255D9A" w:rsidR="000331C9" w:rsidRDefault="000331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EE4A2" w14:textId="77777777" w:rsidR="00D70719" w:rsidRDefault="00D70719">
      <w:r>
        <w:separator/>
      </w:r>
    </w:p>
  </w:footnote>
  <w:footnote w:type="continuationSeparator" w:id="0">
    <w:p w14:paraId="36D8BFE9" w14:textId="77777777" w:rsidR="00D70719" w:rsidRDefault="00D707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7E2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71A70"/>
    <w:multiLevelType w:val="hybridMultilevel"/>
    <w:tmpl w:val="45B47CD4"/>
    <w:lvl w:ilvl="0" w:tplc="EFCC0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047A20"/>
    <w:multiLevelType w:val="hybridMultilevel"/>
    <w:tmpl w:val="F78E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E291E"/>
    <w:multiLevelType w:val="hybridMultilevel"/>
    <w:tmpl w:val="13E0C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27F7E"/>
    <w:multiLevelType w:val="multilevel"/>
    <w:tmpl w:val="B244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31B80"/>
    <w:multiLevelType w:val="hybridMultilevel"/>
    <w:tmpl w:val="5720FD54"/>
    <w:lvl w:ilvl="0" w:tplc="23E0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1046EF"/>
    <w:multiLevelType w:val="hybridMultilevel"/>
    <w:tmpl w:val="D3CA8C34"/>
    <w:lvl w:ilvl="0" w:tplc="ECD67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A562B70"/>
    <w:multiLevelType w:val="hybridMultilevel"/>
    <w:tmpl w:val="6426A47E"/>
    <w:lvl w:ilvl="0" w:tplc="FC085E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2591B"/>
    <w:multiLevelType w:val="hybridMultilevel"/>
    <w:tmpl w:val="C97891D4"/>
    <w:lvl w:ilvl="0" w:tplc="20F267E8">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7A42BD1"/>
    <w:multiLevelType w:val="hybridMultilevel"/>
    <w:tmpl w:val="BE58B8F2"/>
    <w:lvl w:ilvl="0" w:tplc="27648A6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9476A7F"/>
    <w:multiLevelType w:val="hybridMultilevel"/>
    <w:tmpl w:val="98464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A6E81"/>
    <w:multiLevelType w:val="hybridMultilevel"/>
    <w:tmpl w:val="12F82B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A658B5"/>
    <w:multiLevelType w:val="hybridMultilevel"/>
    <w:tmpl w:val="4FD4F884"/>
    <w:lvl w:ilvl="0" w:tplc="84924D6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5599047C"/>
    <w:multiLevelType w:val="hybridMultilevel"/>
    <w:tmpl w:val="920C4C7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5C3D672E"/>
    <w:multiLevelType w:val="hybridMultilevel"/>
    <w:tmpl w:val="2264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60B16"/>
    <w:multiLevelType w:val="hybridMultilevel"/>
    <w:tmpl w:val="05AE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15"/>
  </w:num>
  <w:num w:numId="5">
    <w:abstractNumId w:val="3"/>
  </w:num>
  <w:num w:numId="6">
    <w:abstractNumId w:val="4"/>
  </w:num>
  <w:num w:numId="7">
    <w:abstractNumId w:val="14"/>
  </w:num>
  <w:num w:numId="8">
    <w:abstractNumId w:val="10"/>
  </w:num>
  <w:num w:numId="9">
    <w:abstractNumId w:val="2"/>
  </w:num>
  <w:num w:numId="10">
    <w:abstractNumId w:val="13"/>
  </w:num>
  <w:num w:numId="11">
    <w:abstractNumId w:val="9"/>
  </w:num>
  <w:num w:numId="12">
    <w:abstractNumId w:val="8"/>
  </w:num>
  <w:num w:numId="13">
    <w:abstractNumId w:val="7"/>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2D"/>
    <w:rsid w:val="00013D8E"/>
    <w:rsid w:val="00015852"/>
    <w:rsid w:val="000260D7"/>
    <w:rsid w:val="000331C9"/>
    <w:rsid w:val="00037A5F"/>
    <w:rsid w:val="00055717"/>
    <w:rsid w:val="000567AB"/>
    <w:rsid w:val="000667F6"/>
    <w:rsid w:val="00074943"/>
    <w:rsid w:val="000A7799"/>
    <w:rsid w:val="000B4681"/>
    <w:rsid w:val="000E6785"/>
    <w:rsid w:val="000F6F46"/>
    <w:rsid w:val="00104FC1"/>
    <w:rsid w:val="001054C7"/>
    <w:rsid w:val="00105FDD"/>
    <w:rsid w:val="00113E86"/>
    <w:rsid w:val="001200BA"/>
    <w:rsid w:val="00131B7B"/>
    <w:rsid w:val="00153988"/>
    <w:rsid w:val="00163052"/>
    <w:rsid w:val="00172F31"/>
    <w:rsid w:val="00183A72"/>
    <w:rsid w:val="00184529"/>
    <w:rsid w:val="001C5417"/>
    <w:rsid w:val="001D67C7"/>
    <w:rsid w:val="00207AA2"/>
    <w:rsid w:val="00217FB2"/>
    <w:rsid w:val="00225AB2"/>
    <w:rsid w:val="00226ADF"/>
    <w:rsid w:val="002502CE"/>
    <w:rsid w:val="00261961"/>
    <w:rsid w:val="002649FC"/>
    <w:rsid w:val="00273D6D"/>
    <w:rsid w:val="00274C58"/>
    <w:rsid w:val="00277B56"/>
    <w:rsid w:val="00283147"/>
    <w:rsid w:val="002929AF"/>
    <w:rsid w:val="0029640A"/>
    <w:rsid w:val="002B1E62"/>
    <w:rsid w:val="002D3135"/>
    <w:rsid w:val="002D6530"/>
    <w:rsid w:val="002E1918"/>
    <w:rsid w:val="002E62A6"/>
    <w:rsid w:val="002E6E87"/>
    <w:rsid w:val="0033622B"/>
    <w:rsid w:val="00342326"/>
    <w:rsid w:val="00356D77"/>
    <w:rsid w:val="00371615"/>
    <w:rsid w:val="00371F13"/>
    <w:rsid w:val="0038132A"/>
    <w:rsid w:val="00386C08"/>
    <w:rsid w:val="003A4B1C"/>
    <w:rsid w:val="003C58E5"/>
    <w:rsid w:val="003C6693"/>
    <w:rsid w:val="003D17E0"/>
    <w:rsid w:val="003D65B8"/>
    <w:rsid w:val="003F3432"/>
    <w:rsid w:val="004170DE"/>
    <w:rsid w:val="00424756"/>
    <w:rsid w:val="00426EF0"/>
    <w:rsid w:val="00440E49"/>
    <w:rsid w:val="004460C7"/>
    <w:rsid w:val="00452E4D"/>
    <w:rsid w:val="004606D8"/>
    <w:rsid w:val="00461A51"/>
    <w:rsid w:val="004748F8"/>
    <w:rsid w:val="00476104"/>
    <w:rsid w:val="00480C61"/>
    <w:rsid w:val="00481085"/>
    <w:rsid w:val="004838E6"/>
    <w:rsid w:val="004B4D1D"/>
    <w:rsid w:val="004C0657"/>
    <w:rsid w:val="004C1727"/>
    <w:rsid w:val="004C2A0C"/>
    <w:rsid w:val="004E6D75"/>
    <w:rsid w:val="004F3039"/>
    <w:rsid w:val="004F6BC8"/>
    <w:rsid w:val="00503285"/>
    <w:rsid w:val="00522325"/>
    <w:rsid w:val="00522A80"/>
    <w:rsid w:val="00532C95"/>
    <w:rsid w:val="0053385F"/>
    <w:rsid w:val="0053656A"/>
    <w:rsid w:val="005426D5"/>
    <w:rsid w:val="00542872"/>
    <w:rsid w:val="00554E43"/>
    <w:rsid w:val="00570AE8"/>
    <w:rsid w:val="0057330A"/>
    <w:rsid w:val="00576AE3"/>
    <w:rsid w:val="0058374E"/>
    <w:rsid w:val="0059696F"/>
    <w:rsid w:val="005A6D4B"/>
    <w:rsid w:val="005B185B"/>
    <w:rsid w:val="005B25E1"/>
    <w:rsid w:val="005B7F76"/>
    <w:rsid w:val="005C054E"/>
    <w:rsid w:val="005C6AED"/>
    <w:rsid w:val="005E2B33"/>
    <w:rsid w:val="005F1338"/>
    <w:rsid w:val="00601568"/>
    <w:rsid w:val="006036F6"/>
    <w:rsid w:val="00604482"/>
    <w:rsid w:val="00610A66"/>
    <w:rsid w:val="0064307E"/>
    <w:rsid w:val="0068202E"/>
    <w:rsid w:val="00684A92"/>
    <w:rsid w:val="006A331A"/>
    <w:rsid w:val="006A5E7E"/>
    <w:rsid w:val="006B308C"/>
    <w:rsid w:val="006B6633"/>
    <w:rsid w:val="006B7E56"/>
    <w:rsid w:val="006C2B07"/>
    <w:rsid w:val="006F315E"/>
    <w:rsid w:val="007023CC"/>
    <w:rsid w:val="00702849"/>
    <w:rsid w:val="00706D8E"/>
    <w:rsid w:val="007138AB"/>
    <w:rsid w:val="0073323A"/>
    <w:rsid w:val="00737FCB"/>
    <w:rsid w:val="00740717"/>
    <w:rsid w:val="007671FE"/>
    <w:rsid w:val="007863FB"/>
    <w:rsid w:val="007B7394"/>
    <w:rsid w:val="007F4779"/>
    <w:rsid w:val="007F4BF7"/>
    <w:rsid w:val="00810C75"/>
    <w:rsid w:val="00823EE6"/>
    <w:rsid w:val="0083460E"/>
    <w:rsid w:val="008443CC"/>
    <w:rsid w:val="00847693"/>
    <w:rsid w:val="00850CBF"/>
    <w:rsid w:val="00854440"/>
    <w:rsid w:val="00874577"/>
    <w:rsid w:val="00892940"/>
    <w:rsid w:val="00897C99"/>
    <w:rsid w:val="008A10A3"/>
    <w:rsid w:val="008A1322"/>
    <w:rsid w:val="008A4E44"/>
    <w:rsid w:val="008D32D5"/>
    <w:rsid w:val="008D3D2D"/>
    <w:rsid w:val="008D72B9"/>
    <w:rsid w:val="008E67B1"/>
    <w:rsid w:val="008E70B4"/>
    <w:rsid w:val="008F0FCA"/>
    <w:rsid w:val="00924965"/>
    <w:rsid w:val="00924E42"/>
    <w:rsid w:val="00931D2E"/>
    <w:rsid w:val="00936B9A"/>
    <w:rsid w:val="00981D14"/>
    <w:rsid w:val="009907E4"/>
    <w:rsid w:val="009A271E"/>
    <w:rsid w:val="009A4B62"/>
    <w:rsid w:val="009B3E9C"/>
    <w:rsid w:val="009F2498"/>
    <w:rsid w:val="00A0004D"/>
    <w:rsid w:val="00A20E91"/>
    <w:rsid w:val="00A467DF"/>
    <w:rsid w:val="00A66990"/>
    <w:rsid w:val="00A87BD5"/>
    <w:rsid w:val="00AA2722"/>
    <w:rsid w:val="00AA31EC"/>
    <w:rsid w:val="00AA6081"/>
    <w:rsid w:val="00AC105D"/>
    <w:rsid w:val="00AC2D09"/>
    <w:rsid w:val="00AD7112"/>
    <w:rsid w:val="00AE4231"/>
    <w:rsid w:val="00AF7F78"/>
    <w:rsid w:val="00B0280D"/>
    <w:rsid w:val="00B1322D"/>
    <w:rsid w:val="00B34078"/>
    <w:rsid w:val="00B40F29"/>
    <w:rsid w:val="00B54B10"/>
    <w:rsid w:val="00B740BA"/>
    <w:rsid w:val="00B93A82"/>
    <w:rsid w:val="00B95C48"/>
    <w:rsid w:val="00BA3D85"/>
    <w:rsid w:val="00BB5B1A"/>
    <w:rsid w:val="00BB73EB"/>
    <w:rsid w:val="00BC0677"/>
    <w:rsid w:val="00BD24FA"/>
    <w:rsid w:val="00BF4EF4"/>
    <w:rsid w:val="00C00EBB"/>
    <w:rsid w:val="00C321BC"/>
    <w:rsid w:val="00C357F0"/>
    <w:rsid w:val="00C55C79"/>
    <w:rsid w:val="00C57FD6"/>
    <w:rsid w:val="00C60167"/>
    <w:rsid w:val="00C74BFA"/>
    <w:rsid w:val="00C94879"/>
    <w:rsid w:val="00C95A62"/>
    <w:rsid w:val="00CA1533"/>
    <w:rsid w:val="00CB483F"/>
    <w:rsid w:val="00CD21DC"/>
    <w:rsid w:val="00CD52AC"/>
    <w:rsid w:val="00CE237C"/>
    <w:rsid w:val="00CE7141"/>
    <w:rsid w:val="00CF72ED"/>
    <w:rsid w:val="00D14E6C"/>
    <w:rsid w:val="00D1694D"/>
    <w:rsid w:val="00D1729B"/>
    <w:rsid w:val="00D37EAF"/>
    <w:rsid w:val="00D57FC2"/>
    <w:rsid w:val="00D638BA"/>
    <w:rsid w:val="00D67FFD"/>
    <w:rsid w:val="00D70719"/>
    <w:rsid w:val="00DB4303"/>
    <w:rsid w:val="00DD3B36"/>
    <w:rsid w:val="00DD76AE"/>
    <w:rsid w:val="00E157D1"/>
    <w:rsid w:val="00E203AB"/>
    <w:rsid w:val="00E31E1F"/>
    <w:rsid w:val="00E32755"/>
    <w:rsid w:val="00E400EA"/>
    <w:rsid w:val="00E57AC6"/>
    <w:rsid w:val="00E90998"/>
    <w:rsid w:val="00EB4817"/>
    <w:rsid w:val="00EC1C17"/>
    <w:rsid w:val="00F0655C"/>
    <w:rsid w:val="00F2153C"/>
    <w:rsid w:val="00F222BC"/>
    <w:rsid w:val="00F253C8"/>
    <w:rsid w:val="00F2656A"/>
    <w:rsid w:val="00F473E3"/>
    <w:rsid w:val="00F50A1A"/>
    <w:rsid w:val="00F512BA"/>
    <w:rsid w:val="00F60F0E"/>
    <w:rsid w:val="00F610C8"/>
    <w:rsid w:val="00F7627D"/>
    <w:rsid w:val="00FA634B"/>
    <w:rsid w:val="00FA674B"/>
    <w:rsid w:val="00FB0EA5"/>
    <w:rsid w:val="00FC0E7F"/>
    <w:rsid w:val="00FC53A8"/>
    <w:rsid w:val="00FE0966"/>
    <w:rsid w:val="00FF0797"/>
    <w:rsid w:val="00FF3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28B40D96"/>
  <w14:defaultImageDpi w14:val="330"/>
  <w15:docId w15:val="{87EC99C2-3DCA-4A31-ABD5-8CE4931A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40"/>
    <w:rPr>
      <w:sz w:val="24"/>
    </w:rPr>
  </w:style>
  <w:style w:type="paragraph" w:styleId="Heading1">
    <w:name w:val="heading 1"/>
    <w:basedOn w:val="Normal"/>
    <w:next w:val="Normal"/>
    <w:qFormat/>
    <w:pPr>
      <w:keepNext/>
      <w:pageBreakBefore/>
      <w:spacing w:after="240"/>
      <w:jc w:val="center"/>
      <w:outlineLvl w:val="0"/>
    </w:pPr>
    <w:rPr>
      <w:b/>
    </w:rPr>
  </w:style>
  <w:style w:type="paragraph" w:styleId="Heading2">
    <w:name w:val="heading 2"/>
    <w:basedOn w:val="Normal"/>
    <w:next w:val="Normal"/>
    <w:qFormat/>
    <w:pPr>
      <w:keepNext/>
      <w:spacing w:after="240"/>
      <w:ind w:firstLine="1440"/>
      <w:outlineLvl w:val="1"/>
    </w:pPr>
    <w:rPr>
      <w:b/>
    </w:rPr>
  </w:style>
  <w:style w:type="paragraph" w:styleId="Heading3">
    <w:name w:val="heading 3"/>
    <w:basedOn w:val="Normal"/>
    <w:next w:val="Normal"/>
    <w:qFormat/>
    <w:pPr>
      <w:spacing w:after="240"/>
      <w:ind w:left="720" w:firstLine="1440"/>
      <w:outlineLvl w:val="2"/>
    </w:pPr>
  </w:style>
  <w:style w:type="paragraph" w:styleId="Heading4">
    <w:name w:val="heading 4"/>
    <w:basedOn w:val="Normal"/>
    <w:qFormat/>
    <w:pPr>
      <w:spacing w:after="240"/>
      <w:ind w:left="1440" w:firstLine="1440"/>
      <w:outlineLvl w:val="3"/>
    </w:pPr>
  </w:style>
  <w:style w:type="paragraph" w:styleId="Heading5">
    <w:name w:val="heading 5"/>
    <w:basedOn w:val="Heading4"/>
    <w:qFormat/>
    <w:pPr>
      <w:ind w:left="2160"/>
      <w:outlineLvl w:val="4"/>
    </w:pPr>
  </w:style>
  <w:style w:type="paragraph" w:styleId="Heading6">
    <w:name w:val="heading 6"/>
    <w:basedOn w:val="Heading5"/>
    <w:qFormat/>
    <w:pPr>
      <w:ind w:left="28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customStyle="1" w:styleId="paragraph1">
    <w:name w:val="paragraph 1"/>
    <w:basedOn w:val="Normal"/>
    <w:pPr>
      <w:ind w:left="720"/>
    </w:pPr>
  </w:style>
  <w:style w:type="paragraph" w:customStyle="1" w:styleId="paragraph2">
    <w:name w:val="paragraph 2"/>
    <w:basedOn w:val="Normal"/>
  </w:style>
  <w:style w:type="paragraph" w:customStyle="1" w:styleId="paragraph3">
    <w:name w:val="paragraph 3"/>
    <w:basedOn w:val="Normal"/>
  </w:style>
  <w:style w:type="paragraph" w:customStyle="1" w:styleId="paragraph4">
    <w:name w:val="paragraph 4"/>
    <w:basedOn w:val="Normal"/>
  </w:style>
  <w:style w:type="paragraph" w:customStyle="1" w:styleId="StandardParagraph">
    <w:name w:val="Standard Paragraph"/>
    <w:basedOn w:val="Normal"/>
    <w:next w:val="Normal"/>
    <w:pPr>
      <w:spacing w:after="240"/>
      <w:ind w:firstLine="1440"/>
    </w:pPr>
  </w:style>
  <w:style w:type="paragraph" w:customStyle="1" w:styleId="DocumentHeading">
    <w:name w:val="Document Heading"/>
    <w:basedOn w:val="Normal"/>
    <w:pPr>
      <w:shd w:val="solid" w:color="auto" w:fill="auto"/>
      <w:jc w:val="center"/>
    </w:pPr>
    <w:rPr>
      <w:rFonts w:ascii="Antique Olive" w:hAnsi="Antique Olive"/>
      <w:b/>
      <w:smallCaps/>
      <w:spacing w:val="60"/>
      <w:sz w:val="28"/>
    </w:rPr>
  </w:style>
  <w:style w:type="paragraph" w:customStyle="1" w:styleId="SignatureBlock">
    <w:name w:val="Signature Block"/>
    <w:basedOn w:val="Normal"/>
    <w:next w:val="Normal"/>
    <w:pPr>
      <w:keepNext/>
      <w:ind w:left="4320"/>
    </w:pPr>
  </w:style>
  <w:style w:type="paragraph" w:customStyle="1" w:styleId="DocumentTitle">
    <w:name w:val="Document Title"/>
    <w:basedOn w:val="Normal"/>
    <w:pPr>
      <w:keepNext/>
      <w:pBdr>
        <w:top w:val="single" w:sz="6" w:space="1" w:color="auto" w:shadow="1"/>
        <w:left w:val="single" w:sz="6" w:space="1" w:color="auto" w:shadow="1"/>
        <w:bottom w:val="single" w:sz="6" w:space="1" w:color="auto" w:shadow="1"/>
        <w:right w:val="single" w:sz="6" w:space="1" w:color="auto" w:shadow="1"/>
      </w:pBdr>
      <w:spacing w:after="120"/>
      <w:jc w:val="center"/>
    </w:pPr>
    <w:rPr>
      <w:b/>
      <w:smallCaps/>
      <w:spacing w:val="60"/>
      <w:sz w:val="28"/>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uiPriority w:val="99"/>
    <w:unhideWhenUsed/>
    <w:rsid w:val="007F4BF7"/>
    <w:rPr>
      <w:color w:val="0000FF"/>
      <w:u w:val="single"/>
    </w:rPr>
  </w:style>
  <w:style w:type="paragraph" w:styleId="BalloonText">
    <w:name w:val="Balloon Text"/>
    <w:basedOn w:val="Normal"/>
    <w:link w:val="BalloonTextChar"/>
    <w:uiPriority w:val="99"/>
    <w:semiHidden/>
    <w:unhideWhenUsed/>
    <w:rsid w:val="00424756"/>
    <w:rPr>
      <w:rFonts w:ascii="Tahoma" w:hAnsi="Tahoma" w:cs="Tahoma"/>
      <w:sz w:val="16"/>
      <w:szCs w:val="16"/>
    </w:rPr>
  </w:style>
  <w:style w:type="character" w:customStyle="1" w:styleId="BalloonTextChar">
    <w:name w:val="Balloon Text Char"/>
    <w:basedOn w:val="DefaultParagraphFont"/>
    <w:link w:val="BalloonText"/>
    <w:uiPriority w:val="99"/>
    <w:semiHidden/>
    <w:rsid w:val="00424756"/>
    <w:rPr>
      <w:rFonts w:ascii="Tahoma" w:hAnsi="Tahoma" w:cs="Tahoma"/>
      <w:sz w:val="16"/>
      <w:szCs w:val="16"/>
    </w:rPr>
  </w:style>
  <w:style w:type="character" w:customStyle="1" w:styleId="HeaderChar">
    <w:name w:val="Header Char"/>
    <w:basedOn w:val="DefaultParagraphFont"/>
    <w:link w:val="Header"/>
    <w:uiPriority w:val="99"/>
    <w:rsid w:val="0058374E"/>
    <w:rPr>
      <w:sz w:val="24"/>
    </w:rPr>
  </w:style>
  <w:style w:type="character" w:customStyle="1" w:styleId="FooterChar">
    <w:name w:val="Footer Char"/>
    <w:basedOn w:val="DefaultParagraphFont"/>
    <w:link w:val="Footer"/>
    <w:uiPriority w:val="99"/>
    <w:rsid w:val="0058374E"/>
    <w:rPr>
      <w:sz w:val="24"/>
    </w:rPr>
  </w:style>
  <w:style w:type="paragraph" w:styleId="ListParagraph">
    <w:name w:val="List Paragraph"/>
    <w:basedOn w:val="Normal"/>
    <w:uiPriority w:val="34"/>
    <w:qFormat/>
    <w:rsid w:val="00981D14"/>
    <w:pPr>
      <w:ind w:left="720"/>
      <w:contextualSpacing/>
    </w:pPr>
  </w:style>
  <w:style w:type="paragraph" w:styleId="BodyTextIndent">
    <w:name w:val="Body Text Indent"/>
    <w:basedOn w:val="Normal"/>
    <w:link w:val="BodyTextIndentChar"/>
    <w:semiHidden/>
    <w:rsid w:val="00E157D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rFonts w:ascii="Arial" w:hAnsi="Arial" w:cs="Arial"/>
      <w:szCs w:val="24"/>
    </w:rPr>
  </w:style>
  <w:style w:type="character" w:customStyle="1" w:styleId="BodyTextIndentChar">
    <w:name w:val="Body Text Indent Char"/>
    <w:basedOn w:val="DefaultParagraphFont"/>
    <w:link w:val="BodyTextIndent"/>
    <w:semiHidden/>
    <w:rsid w:val="00E157D1"/>
    <w:rPr>
      <w:rFonts w:ascii="Arial" w:hAnsi="Arial" w:cs="Arial"/>
      <w:sz w:val="24"/>
      <w:szCs w:val="24"/>
    </w:rPr>
  </w:style>
  <w:style w:type="paragraph" w:styleId="NoSpacing">
    <w:name w:val="No Spacing"/>
    <w:uiPriority w:val="1"/>
    <w:qFormat/>
    <w:rsid w:val="00E157D1"/>
    <w:rPr>
      <w:rFonts w:ascii="Calibri" w:eastAsia="Calibri" w:hAnsi="Calibri"/>
      <w:sz w:val="22"/>
      <w:szCs w:val="22"/>
    </w:rPr>
  </w:style>
  <w:style w:type="table" w:styleId="TableGrid">
    <w:name w:val="Table Grid"/>
    <w:basedOn w:val="TableNormal"/>
    <w:uiPriority w:val="59"/>
    <w:unhideWhenUsed/>
    <w:rsid w:val="00BF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EF4"/>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2D3135"/>
    <w:rPr>
      <w:color w:val="605E5C"/>
      <w:shd w:val="clear" w:color="auto" w:fill="E1DFDD"/>
    </w:rPr>
  </w:style>
  <w:style w:type="paragraph" w:styleId="Caption">
    <w:name w:val="caption"/>
    <w:basedOn w:val="Normal"/>
    <w:next w:val="Normal"/>
    <w:uiPriority w:val="35"/>
    <w:semiHidden/>
    <w:unhideWhenUsed/>
    <w:qFormat/>
    <w:rsid w:val="00FF0797"/>
    <w:pPr>
      <w:spacing w:after="200"/>
    </w:pPr>
    <w:rPr>
      <w:i/>
      <w:iCs/>
      <w:color w:val="1F497D" w:themeColor="text2"/>
      <w:sz w:val="18"/>
      <w:szCs w:val="18"/>
    </w:rPr>
  </w:style>
  <w:style w:type="character" w:styleId="Strong">
    <w:name w:val="Strong"/>
    <w:basedOn w:val="DefaultParagraphFont"/>
    <w:uiPriority w:val="22"/>
    <w:qFormat/>
    <w:rsid w:val="0083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7518">
      <w:bodyDiv w:val="1"/>
      <w:marLeft w:val="0"/>
      <w:marRight w:val="0"/>
      <w:marTop w:val="0"/>
      <w:marBottom w:val="0"/>
      <w:divBdr>
        <w:top w:val="none" w:sz="0" w:space="0" w:color="auto"/>
        <w:left w:val="none" w:sz="0" w:space="0" w:color="auto"/>
        <w:bottom w:val="none" w:sz="0" w:space="0" w:color="auto"/>
        <w:right w:val="none" w:sz="0" w:space="0" w:color="auto"/>
      </w:divBdr>
    </w:div>
    <w:div w:id="206915079">
      <w:bodyDiv w:val="1"/>
      <w:marLeft w:val="0"/>
      <w:marRight w:val="0"/>
      <w:marTop w:val="0"/>
      <w:marBottom w:val="0"/>
      <w:divBdr>
        <w:top w:val="none" w:sz="0" w:space="0" w:color="auto"/>
        <w:left w:val="none" w:sz="0" w:space="0" w:color="auto"/>
        <w:bottom w:val="none" w:sz="0" w:space="0" w:color="auto"/>
        <w:right w:val="none" w:sz="0" w:space="0" w:color="auto"/>
      </w:divBdr>
    </w:div>
    <w:div w:id="221645176">
      <w:bodyDiv w:val="1"/>
      <w:marLeft w:val="0"/>
      <w:marRight w:val="0"/>
      <w:marTop w:val="0"/>
      <w:marBottom w:val="0"/>
      <w:divBdr>
        <w:top w:val="none" w:sz="0" w:space="0" w:color="auto"/>
        <w:left w:val="none" w:sz="0" w:space="0" w:color="auto"/>
        <w:bottom w:val="none" w:sz="0" w:space="0" w:color="auto"/>
        <w:right w:val="none" w:sz="0" w:space="0" w:color="auto"/>
      </w:divBdr>
    </w:div>
    <w:div w:id="504902478">
      <w:bodyDiv w:val="1"/>
      <w:marLeft w:val="0"/>
      <w:marRight w:val="0"/>
      <w:marTop w:val="0"/>
      <w:marBottom w:val="0"/>
      <w:divBdr>
        <w:top w:val="none" w:sz="0" w:space="0" w:color="auto"/>
        <w:left w:val="none" w:sz="0" w:space="0" w:color="auto"/>
        <w:bottom w:val="none" w:sz="0" w:space="0" w:color="auto"/>
        <w:right w:val="none" w:sz="0" w:space="0" w:color="auto"/>
      </w:divBdr>
    </w:div>
    <w:div w:id="781876416">
      <w:bodyDiv w:val="1"/>
      <w:marLeft w:val="0"/>
      <w:marRight w:val="0"/>
      <w:marTop w:val="0"/>
      <w:marBottom w:val="0"/>
      <w:divBdr>
        <w:top w:val="none" w:sz="0" w:space="0" w:color="auto"/>
        <w:left w:val="none" w:sz="0" w:space="0" w:color="auto"/>
        <w:bottom w:val="none" w:sz="0" w:space="0" w:color="auto"/>
        <w:right w:val="none" w:sz="0" w:space="0" w:color="auto"/>
      </w:divBdr>
    </w:div>
    <w:div w:id="1548834528">
      <w:bodyDiv w:val="1"/>
      <w:marLeft w:val="0"/>
      <w:marRight w:val="0"/>
      <w:marTop w:val="0"/>
      <w:marBottom w:val="0"/>
      <w:divBdr>
        <w:top w:val="none" w:sz="0" w:space="0" w:color="auto"/>
        <w:left w:val="none" w:sz="0" w:space="0" w:color="auto"/>
        <w:bottom w:val="none" w:sz="0" w:space="0" w:color="auto"/>
        <w:right w:val="none" w:sz="0" w:space="0" w:color="auto"/>
      </w:divBdr>
    </w:div>
    <w:div w:id="1810899026">
      <w:bodyDiv w:val="1"/>
      <w:marLeft w:val="0"/>
      <w:marRight w:val="0"/>
      <w:marTop w:val="0"/>
      <w:marBottom w:val="0"/>
      <w:divBdr>
        <w:top w:val="none" w:sz="0" w:space="0" w:color="auto"/>
        <w:left w:val="none" w:sz="0" w:space="0" w:color="auto"/>
        <w:bottom w:val="none" w:sz="0" w:space="0" w:color="auto"/>
        <w:right w:val="none" w:sz="0" w:space="0" w:color="auto"/>
      </w:divBdr>
    </w:div>
    <w:div w:id="181699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ofjohn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3603-0F6F-43C0-B643-2D5913D6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7231</TotalTime>
  <Pages>7</Pages>
  <Words>2303</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ORDINANCE No</vt:lpstr>
    </vt:vector>
  </TitlesOfParts>
  <Company>Preston Gates &amp; Ellis LLP</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Dan Kearns</dc:creator>
  <cp:keywords/>
  <dc:description/>
  <cp:lastModifiedBy>Daisy Goebel</cp:lastModifiedBy>
  <cp:revision>21</cp:revision>
  <cp:lastPrinted>2019-11-01T14:50:00Z</cp:lastPrinted>
  <dcterms:created xsi:type="dcterms:W3CDTF">2020-11-10T17:30:00Z</dcterms:created>
  <dcterms:modified xsi:type="dcterms:W3CDTF">2021-03-31T20:53:00Z</dcterms:modified>
</cp:coreProperties>
</file>