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7546F" w14:textId="1A31A501" w:rsidR="00DE69B7" w:rsidRDefault="00DE69B7" w:rsidP="00DE69B7">
      <w:pPr>
        <w:rPr>
          <w:szCs w:val="24"/>
        </w:rPr>
      </w:pPr>
    </w:p>
    <w:p w14:paraId="7D93C6F0" w14:textId="77777777" w:rsidR="00653038" w:rsidRPr="00DE69B7" w:rsidRDefault="00653038" w:rsidP="00DE69B7">
      <w:pPr>
        <w:rPr>
          <w:szCs w:val="24"/>
        </w:rPr>
      </w:pPr>
    </w:p>
    <w:tbl>
      <w:tblPr>
        <w:tblStyle w:val="TableGrid"/>
        <w:tblW w:w="0" w:type="auto"/>
        <w:tblLook w:val="04A0" w:firstRow="1" w:lastRow="0" w:firstColumn="1" w:lastColumn="0" w:noHBand="0" w:noVBand="1"/>
      </w:tblPr>
      <w:tblGrid>
        <w:gridCol w:w="4667"/>
        <w:gridCol w:w="4683"/>
      </w:tblGrid>
      <w:tr w:rsidR="00DE69B7" w:rsidRPr="00DE69B7" w14:paraId="5011DBD2" w14:textId="77777777" w:rsidTr="002805C6">
        <w:tc>
          <w:tcPr>
            <w:tcW w:w="4667" w:type="dxa"/>
            <w:tcBorders>
              <w:top w:val="single" w:sz="4" w:space="0" w:color="FFFFFF"/>
              <w:left w:val="single" w:sz="4" w:space="0" w:color="FFFFFF"/>
              <w:bottom w:val="single" w:sz="4" w:space="0" w:color="auto"/>
              <w:right w:val="single" w:sz="4" w:space="0" w:color="FFFFFF"/>
            </w:tcBorders>
          </w:tcPr>
          <w:p w14:paraId="5A8EF825" w14:textId="77777777" w:rsidR="00DE69B7" w:rsidRPr="00DE69B7" w:rsidRDefault="00DE69B7" w:rsidP="00DE69B7">
            <w:pPr>
              <w:rPr>
                <w:b/>
                <w:sz w:val="28"/>
              </w:rPr>
            </w:pPr>
            <w:r w:rsidRPr="00DE69B7">
              <w:rPr>
                <w:noProof/>
              </w:rPr>
              <w:drawing>
                <wp:inline distT="0" distB="0" distL="0" distR="0" wp14:anchorId="633B3D07" wp14:editId="72A12795">
                  <wp:extent cx="1073150" cy="10852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977" cy="1099228"/>
                          </a:xfrm>
                          <a:prstGeom prst="rect">
                            <a:avLst/>
                          </a:prstGeom>
                          <a:noFill/>
                          <a:ln>
                            <a:noFill/>
                          </a:ln>
                        </pic:spPr>
                      </pic:pic>
                    </a:graphicData>
                  </a:graphic>
                </wp:inline>
              </w:drawing>
            </w:r>
          </w:p>
        </w:tc>
        <w:tc>
          <w:tcPr>
            <w:tcW w:w="4683" w:type="dxa"/>
            <w:tcBorders>
              <w:top w:val="single" w:sz="4" w:space="0" w:color="FFFFFF"/>
              <w:left w:val="single" w:sz="4" w:space="0" w:color="FFFFFF"/>
              <w:bottom w:val="single" w:sz="4" w:space="0" w:color="auto"/>
              <w:right w:val="single" w:sz="4" w:space="0" w:color="FFFFFF"/>
            </w:tcBorders>
            <w:vAlign w:val="bottom"/>
          </w:tcPr>
          <w:p w14:paraId="39D28AC5" w14:textId="77777777" w:rsidR="00DE69B7" w:rsidRPr="00DE69B7" w:rsidRDefault="00DE69B7" w:rsidP="00DE69B7">
            <w:pPr>
              <w:jc w:val="right"/>
              <w:rPr>
                <w:rFonts w:ascii="Arial" w:hAnsi="Arial" w:cs="Arial"/>
                <w:i/>
                <w:iCs/>
                <w:sz w:val="20"/>
              </w:rPr>
            </w:pPr>
            <w:r w:rsidRPr="00DE69B7">
              <w:rPr>
                <w:rFonts w:ascii="Arial" w:hAnsi="Arial" w:cs="Arial"/>
                <w:i/>
                <w:iCs/>
                <w:sz w:val="20"/>
              </w:rPr>
              <w:t>450 E. Main Street</w:t>
            </w:r>
          </w:p>
          <w:p w14:paraId="5D226D8C" w14:textId="77777777" w:rsidR="00DE69B7" w:rsidRPr="00DE69B7" w:rsidRDefault="00DE69B7" w:rsidP="00DE69B7">
            <w:pPr>
              <w:jc w:val="right"/>
              <w:rPr>
                <w:rFonts w:ascii="Arial" w:hAnsi="Arial" w:cs="Arial"/>
                <w:i/>
                <w:iCs/>
                <w:sz w:val="20"/>
              </w:rPr>
            </w:pPr>
            <w:r w:rsidRPr="00DE69B7">
              <w:rPr>
                <w:rFonts w:ascii="Arial" w:hAnsi="Arial" w:cs="Arial"/>
                <w:i/>
                <w:iCs/>
                <w:sz w:val="20"/>
              </w:rPr>
              <w:t>John Day, OR 97845</w:t>
            </w:r>
          </w:p>
          <w:p w14:paraId="0CD186BA" w14:textId="77777777" w:rsidR="00DE69B7" w:rsidRPr="00DE69B7" w:rsidRDefault="009F47C3" w:rsidP="00DE69B7">
            <w:pPr>
              <w:jc w:val="right"/>
              <w:rPr>
                <w:rFonts w:ascii="Arial" w:hAnsi="Arial" w:cs="Arial"/>
                <w:i/>
                <w:iCs/>
                <w:color w:val="0000FF"/>
                <w:sz w:val="20"/>
                <w:u w:val="single"/>
              </w:rPr>
            </w:pPr>
            <w:hyperlink r:id="rId9" w:history="1">
              <w:r w:rsidR="00DE69B7" w:rsidRPr="00DE69B7">
                <w:rPr>
                  <w:rFonts w:ascii="Arial" w:hAnsi="Arial" w:cs="Arial"/>
                  <w:i/>
                  <w:iCs/>
                  <w:color w:val="0000FF"/>
                  <w:sz w:val="20"/>
                  <w:u w:val="single"/>
                </w:rPr>
                <w:t>www.cityofjohnday.com</w:t>
              </w:r>
            </w:hyperlink>
          </w:p>
          <w:p w14:paraId="5D2A5281" w14:textId="77777777" w:rsidR="00DE69B7" w:rsidRPr="00DE69B7" w:rsidRDefault="00DE69B7" w:rsidP="00DE69B7">
            <w:pPr>
              <w:jc w:val="right"/>
              <w:rPr>
                <w:rFonts w:ascii="Arial" w:hAnsi="Arial" w:cs="Arial"/>
                <w:bCs/>
                <w:i/>
                <w:iCs/>
                <w:sz w:val="20"/>
              </w:rPr>
            </w:pPr>
            <w:r w:rsidRPr="00DE69B7">
              <w:rPr>
                <w:rFonts w:ascii="Arial" w:hAnsi="Arial" w:cs="Arial"/>
                <w:bCs/>
                <w:i/>
                <w:iCs/>
                <w:sz w:val="20"/>
              </w:rPr>
              <w:t>Tel: (541) 575-0028</w:t>
            </w:r>
          </w:p>
          <w:p w14:paraId="3BABFCE6" w14:textId="77777777" w:rsidR="00DE69B7" w:rsidRPr="00DE69B7" w:rsidRDefault="00DE69B7" w:rsidP="00DE69B7">
            <w:pPr>
              <w:jc w:val="right"/>
              <w:rPr>
                <w:bCs/>
                <w:i/>
                <w:iCs/>
                <w:sz w:val="28"/>
              </w:rPr>
            </w:pPr>
            <w:r w:rsidRPr="00DE69B7">
              <w:rPr>
                <w:rFonts w:ascii="Arial" w:hAnsi="Arial" w:cs="Arial"/>
                <w:bCs/>
                <w:i/>
                <w:iCs/>
                <w:sz w:val="20"/>
              </w:rPr>
              <w:t>Fax: (541) 575-3668</w:t>
            </w:r>
          </w:p>
        </w:tc>
      </w:tr>
      <w:tr w:rsidR="00DE69B7" w:rsidRPr="00DE69B7" w14:paraId="4C79E250" w14:textId="77777777" w:rsidTr="002805C6">
        <w:tc>
          <w:tcPr>
            <w:tcW w:w="4667" w:type="dxa"/>
            <w:tcBorders>
              <w:top w:val="single" w:sz="4" w:space="0" w:color="auto"/>
              <w:left w:val="single" w:sz="4" w:space="0" w:color="FFFFFF"/>
              <w:bottom w:val="single" w:sz="4" w:space="0" w:color="FFFFFF"/>
              <w:right w:val="single" w:sz="4" w:space="0" w:color="FFFFFF"/>
            </w:tcBorders>
          </w:tcPr>
          <w:p w14:paraId="582AE014" w14:textId="77777777" w:rsidR="00DE69B7" w:rsidRPr="00DE69B7" w:rsidRDefault="00DE69B7" w:rsidP="00DE69B7"/>
        </w:tc>
        <w:tc>
          <w:tcPr>
            <w:tcW w:w="4683" w:type="dxa"/>
            <w:tcBorders>
              <w:top w:val="single" w:sz="4" w:space="0" w:color="auto"/>
              <w:left w:val="single" w:sz="4" w:space="0" w:color="FFFFFF"/>
              <w:bottom w:val="single" w:sz="4" w:space="0" w:color="FFFFFF"/>
              <w:right w:val="single" w:sz="4" w:space="0" w:color="FFFFFF"/>
            </w:tcBorders>
            <w:vAlign w:val="bottom"/>
          </w:tcPr>
          <w:p w14:paraId="7FE34278" w14:textId="77777777" w:rsidR="00DE69B7" w:rsidRPr="00DE69B7" w:rsidRDefault="00DE69B7" w:rsidP="00DE69B7">
            <w:pPr>
              <w:jc w:val="right"/>
              <w:rPr>
                <w:rFonts w:ascii="Arial" w:hAnsi="Arial" w:cs="Arial"/>
                <w:i/>
                <w:iCs/>
                <w:sz w:val="21"/>
                <w:szCs w:val="21"/>
              </w:rPr>
            </w:pPr>
          </w:p>
        </w:tc>
      </w:tr>
    </w:tbl>
    <w:p w14:paraId="7AEC067A" w14:textId="77777777" w:rsidR="007177A3" w:rsidRDefault="007177A3" w:rsidP="00DE69B7">
      <w:pPr>
        <w:widowControl w:val="0"/>
        <w:jc w:val="center"/>
        <w:rPr>
          <w:b/>
          <w:sz w:val="28"/>
          <w:szCs w:val="28"/>
        </w:rPr>
      </w:pPr>
    </w:p>
    <w:p w14:paraId="4BC17A58" w14:textId="14ADB53C" w:rsidR="00DE69B7" w:rsidRDefault="00DE355E" w:rsidP="00DE69B7">
      <w:pPr>
        <w:widowControl w:val="0"/>
        <w:jc w:val="center"/>
        <w:rPr>
          <w:b/>
          <w:sz w:val="28"/>
          <w:szCs w:val="28"/>
        </w:rPr>
      </w:pPr>
      <w:r>
        <w:rPr>
          <w:b/>
          <w:sz w:val="28"/>
          <w:szCs w:val="28"/>
        </w:rPr>
        <w:t>Site Design Review</w:t>
      </w:r>
      <w:r w:rsidR="003D63C2">
        <w:rPr>
          <w:b/>
          <w:sz w:val="28"/>
          <w:szCs w:val="28"/>
        </w:rPr>
        <w:t xml:space="preserve"> (Type III)</w:t>
      </w:r>
      <w:r>
        <w:rPr>
          <w:b/>
          <w:sz w:val="28"/>
          <w:szCs w:val="28"/>
        </w:rPr>
        <w:t xml:space="preserve"> </w:t>
      </w:r>
      <w:r w:rsidR="003D63C2">
        <w:rPr>
          <w:b/>
          <w:sz w:val="28"/>
          <w:szCs w:val="28"/>
        </w:rPr>
        <w:t>SDR-</w:t>
      </w:r>
      <w:r>
        <w:rPr>
          <w:b/>
          <w:sz w:val="28"/>
          <w:szCs w:val="28"/>
        </w:rPr>
        <w:t>19-05</w:t>
      </w:r>
    </w:p>
    <w:p w14:paraId="587F5DE8" w14:textId="77777777" w:rsidR="00DE69B7" w:rsidRDefault="00DE69B7" w:rsidP="00DE69B7">
      <w:pPr>
        <w:widowControl w:val="0"/>
        <w:jc w:val="center"/>
        <w:rPr>
          <w:b/>
          <w:szCs w:val="24"/>
          <w:u w:val="single"/>
        </w:rPr>
      </w:pPr>
    </w:p>
    <w:p w14:paraId="29426240" w14:textId="77777777" w:rsidR="001D67C7" w:rsidRPr="001D67C7" w:rsidRDefault="00DE69B7" w:rsidP="001D67C7">
      <w:pPr>
        <w:widowControl w:val="0"/>
        <w:jc w:val="center"/>
        <w:rPr>
          <w:b/>
          <w:szCs w:val="24"/>
          <w:u w:val="single"/>
        </w:rPr>
      </w:pPr>
      <w:r>
        <w:rPr>
          <w:b/>
          <w:szCs w:val="24"/>
          <w:u w:val="single"/>
        </w:rPr>
        <w:t>STAFF REPORT</w:t>
      </w:r>
    </w:p>
    <w:p w14:paraId="72C00A56" w14:textId="77777777" w:rsidR="00854440" w:rsidRDefault="00854440" w:rsidP="00854440">
      <w:pPr>
        <w:widowControl w:val="0"/>
        <w:rPr>
          <w:rFonts w:ascii="Arial" w:hAnsi="Arial" w:cs="Arial"/>
          <w:sz w:val="22"/>
          <w:szCs w:val="22"/>
          <w:u w:val="single"/>
        </w:rPr>
      </w:pPr>
    </w:p>
    <w:p w14:paraId="4C598452" w14:textId="619105AA" w:rsidR="00E157D1" w:rsidRPr="00E4606B" w:rsidRDefault="00E157D1" w:rsidP="00E157D1">
      <w:r w:rsidRPr="00E4606B">
        <w:rPr>
          <w:b/>
          <w:bCs/>
        </w:rPr>
        <w:t>Date Submitted:</w:t>
      </w:r>
      <w:r w:rsidRPr="00E4606B">
        <w:tab/>
      </w:r>
      <w:r w:rsidRPr="00E4606B">
        <w:tab/>
      </w:r>
      <w:r w:rsidRPr="00E4606B">
        <w:tab/>
      </w:r>
      <w:r w:rsidR="00D77B7C">
        <w:t>January</w:t>
      </w:r>
      <w:r w:rsidR="003D63C2">
        <w:t xml:space="preserve"> 9</w:t>
      </w:r>
      <w:r w:rsidR="003D63C2" w:rsidRPr="003D63C2">
        <w:rPr>
          <w:vertAlign w:val="superscript"/>
        </w:rPr>
        <w:t>th</w:t>
      </w:r>
      <w:r w:rsidR="00D77B7C">
        <w:t>, 2020</w:t>
      </w:r>
    </w:p>
    <w:p w14:paraId="21361A07" w14:textId="77777777" w:rsidR="00E157D1" w:rsidRPr="00E4606B" w:rsidRDefault="00E157D1" w:rsidP="00E157D1"/>
    <w:p w14:paraId="33914906" w14:textId="1DE9A5A0" w:rsidR="00E157D1" w:rsidRPr="00E4606B" w:rsidRDefault="00E157D1" w:rsidP="00E157D1">
      <w:r w:rsidRPr="00E4606B">
        <w:rPr>
          <w:b/>
          <w:bCs/>
        </w:rPr>
        <w:t>Agenda Date Requested:</w:t>
      </w:r>
      <w:r w:rsidRPr="00E4606B">
        <w:tab/>
      </w:r>
      <w:r w:rsidRPr="00E4606B">
        <w:tab/>
      </w:r>
      <w:r w:rsidR="00DE355E">
        <w:t>January 14</w:t>
      </w:r>
      <w:r w:rsidR="00DE355E" w:rsidRPr="00DE355E">
        <w:rPr>
          <w:vertAlign w:val="superscript"/>
        </w:rPr>
        <w:t>th</w:t>
      </w:r>
      <w:r w:rsidR="00DE355E">
        <w:t>, 2020</w:t>
      </w:r>
    </w:p>
    <w:p w14:paraId="67AB33C8" w14:textId="77777777" w:rsidR="00E157D1" w:rsidRPr="00E4606B" w:rsidRDefault="00E157D1" w:rsidP="00E157D1"/>
    <w:p w14:paraId="2DEE803C" w14:textId="77777777" w:rsidR="00E157D1" w:rsidRPr="00E4606B" w:rsidRDefault="00E157D1" w:rsidP="00E157D1">
      <w:r w:rsidRPr="00E4606B">
        <w:rPr>
          <w:b/>
          <w:bCs/>
        </w:rPr>
        <w:t>To:</w:t>
      </w:r>
      <w:r w:rsidRPr="00E4606B">
        <w:tab/>
      </w:r>
      <w:r w:rsidRPr="00E4606B">
        <w:tab/>
      </w:r>
      <w:r w:rsidRPr="00E4606B">
        <w:tab/>
      </w:r>
      <w:r w:rsidRPr="00E4606B">
        <w:tab/>
      </w:r>
      <w:r w:rsidRPr="00E4606B">
        <w:tab/>
      </w:r>
      <w:r>
        <w:t>John</w:t>
      </w:r>
      <w:bookmarkStart w:id="0" w:name="_GoBack"/>
      <w:bookmarkEnd w:id="0"/>
      <w:r>
        <w:t xml:space="preserve"> Day Planning Commission</w:t>
      </w:r>
    </w:p>
    <w:p w14:paraId="31BA4BF3" w14:textId="77777777" w:rsidR="00E157D1" w:rsidRPr="00E4606B" w:rsidRDefault="00E157D1" w:rsidP="00E157D1"/>
    <w:p w14:paraId="53006E10" w14:textId="77777777" w:rsidR="00E157D1" w:rsidRPr="00E4606B" w:rsidRDefault="00E157D1" w:rsidP="00E157D1">
      <w:r w:rsidRPr="00E4606B">
        <w:rPr>
          <w:b/>
          <w:bCs/>
        </w:rPr>
        <w:t>From:</w:t>
      </w:r>
      <w:r w:rsidRPr="00E4606B">
        <w:tab/>
      </w:r>
      <w:r w:rsidRPr="00E4606B">
        <w:tab/>
      </w:r>
      <w:r w:rsidRPr="00E4606B">
        <w:tab/>
      </w:r>
      <w:r w:rsidRPr="00E4606B">
        <w:tab/>
      </w:r>
      <w:r w:rsidRPr="00E4606B">
        <w:tab/>
      </w:r>
      <w:r w:rsidR="008933D9">
        <w:t>Nicholas Green</w:t>
      </w:r>
    </w:p>
    <w:p w14:paraId="528B2BE9" w14:textId="77777777" w:rsidR="00E157D1" w:rsidRPr="00E4606B" w:rsidRDefault="008933D9" w:rsidP="00E157D1">
      <w:pPr>
        <w:ind w:left="3600"/>
      </w:pPr>
      <w:r>
        <w:t>City Manager</w:t>
      </w:r>
    </w:p>
    <w:p w14:paraId="40206A27" w14:textId="77777777" w:rsidR="00E157D1" w:rsidRPr="00E4606B" w:rsidRDefault="00E157D1" w:rsidP="00E157D1"/>
    <w:p w14:paraId="36953236" w14:textId="427B8276" w:rsidR="00E157D1" w:rsidRDefault="00E157D1" w:rsidP="00E157D1">
      <w:pPr>
        <w:tabs>
          <w:tab w:val="left" w:pos="3600"/>
        </w:tabs>
        <w:ind w:left="3553" w:hanging="3553"/>
      </w:pPr>
      <w:r w:rsidRPr="00E4606B">
        <w:rPr>
          <w:b/>
          <w:bCs/>
        </w:rPr>
        <w:t>Subject:</w:t>
      </w:r>
      <w:r w:rsidRPr="00E4606B">
        <w:tab/>
      </w:r>
      <w:r w:rsidR="00862490">
        <w:t>Site Design Review</w:t>
      </w:r>
      <w:r w:rsidR="00DE355E">
        <w:t xml:space="preserve"> for Heart of Grant County </w:t>
      </w:r>
    </w:p>
    <w:p w14:paraId="14B40581" w14:textId="77777777" w:rsidR="00E157D1" w:rsidRDefault="00E157D1" w:rsidP="00E157D1">
      <w:pPr>
        <w:tabs>
          <w:tab w:val="left" w:pos="3600"/>
        </w:tabs>
        <w:ind w:left="3553" w:hanging="3553"/>
      </w:pPr>
    </w:p>
    <w:p w14:paraId="4A62F942" w14:textId="6C4A6BA0" w:rsidR="00DE355E" w:rsidRDefault="00E157D1" w:rsidP="00DE355E">
      <w:r>
        <w:rPr>
          <w:b/>
          <w:bCs/>
        </w:rPr>
        <w:t>Location:</w:t>
      </w:r>
      <w:r>
        <w:tab/>
      </w:r>
      <w:r w:rsidR="00DE355E">
        <w:tab/>
      </w:r>
      <w:r w:rsidR="00DE355E">
        <w:tab/>
      </w:r>
      <w:r w:rsidR="00DE355E">
        <w:tab/>
        <w:t>115 NW Bridge St. John Day, OR</w:t>
      </w:r>
    </w:p>
    <w:p w14:paraId="1E374AC6" w14:textId="463ADA1C" w:rsidR="00E157D1" w:rsidRDefault="00DE355E" w:rsidP="00DE355E">
      <w:pPr>
        <w:tabs>
          <w:tab w:val="left" w:pos="3600"/>
        </w:tabs>
        <w:ind w:left="3553" w:hanging="3553"/>
      </w:pPr>
      <w:r>
        <w:tab/>
      </w:r>
      <w:r>
        <w:tab/>
        <w:t>Map:</w:t>
      </w:r>
      <w:r w:rsidRPr="009B3032">
        <w:t xml:space="preserve"> 13S31E26BA</w:t>
      </w:r>
      <w:r>
        <w:t xml:space="preserve"> Tax Lot: 3900</w:t>
      </w:r>
    </w:p>
    <w:p w14:paraId="5ACE5011" w14:textId="77777777" w:rsidR="00DE355E" w:rsidRDefault="00DE355E" w:rsidP="00DE355E">
      <w:pPr>
        <w:tabs>
          <w:tab w:val="left" w:pos="3600"/>
        </w:tabs>
        <w:ind w:left="3553" w:hanging="3553"/>
      </w:pPr>
    </w:p>
    <w:p w14:paraId="4A3C6179" w14:textId="77777777" w:rsidR="007177A3" w:rsidRDefault="007177A3" w:rsidP="007177A3">
      <w:pPr>
        <w:rPr>
          <w:b/>
          <w:bCs/>
          <w:sz w:val="23"/>
          <w:szCs w:val="23"/>
        </w:rPr>
      </w:pPr>
      <w:r w:rsidRPr="008F7C1E">
        <w:rPr>
          <w:b/>
          <w:bCs/>
          <w:sz w:val="23"/>
          <w:szCs w:val="23"/>
        </w:rPr>
        <w:t>Type of Action Requested:</w:t>
      </w:r>
    </w:p>
    <w:p w14:paraId="09744D1B" w14:textId="77777777" w:rsidR="007177A3" w:rsidRDefault="007177A3" w:rsidP="007177A3">
      <w:pPr>
        <w:rPr>
          <w:b/>
          <w:bCs/>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177A3" w14:paraId="2FBE9E89" w14:textId="77777777" w:rsidTr="002805C6">
        <w:tc>
          <w:tcPr>
            <w:tcW w:w="4675" w:type="dxa"/>
          </w:tcPr>
          <w:p w14:paraId="4DBEB8BC" w14:textId="77777777" w:rsidR="007177A3" w:rsidRPr="008F7C1E" w:rsidRDefault="007177A3" w:rsidP="002805C6">
            <w:pPr>
              <w:rPr>
                <w:b/>
                <w:bCs/>
              </w:rPr>
            </w:pPr>
            <w:r w:rsidRPr="008F7C1E">
              <w:rPr>
                <w:b/>
                <w:bCs/>
              </w:rPr>
              <w:t>[          ]         Resolution</w:t>
            </w:r>
          </w:p>
        </w:tc>
        <w:tc>
          <w:tcPr>
            <w:tcW w:w="4675" w:type="dxa"/>
          </w:tcPr>
          <w:p w14:paraId="28C1D96B" w14:textId="77777777" w:rsidR="007177A3" w:rsidRPr="008F7C1E" w:rsidRDefault="007177A3" w:rsidP="002805C6">
            <w:pPr>
              <w:rPr>
                <w:b/>
                <w:bCs/>
                <w:color w:val="FF0000"/>
              </w:rPr>
            </w:pPr>
            <w:r w:rsidRPr="008F7C1E">
              <w:rPr>
                <w:b/>
                <w:bCs/>
              </w:rPr>
              <w:t>[          ]         Ordinance</w:t>
            </w:r>
          </w:p>
        </w:tc>
      </w:tr>
      <w:tr w:rsidR="007177A3" w14:paraId="6345BE06" w14:textId="77777777" w:rsidTr="002805C6">
        <w:trPr>
          <w:trHeight w:val="73"/>
        </w:trPr>
        <w:tc>
          <w:tcPr>
            <w:tcW w:w="4675" w:type="dxa"/>
          </w:tcPr>
          <w:p w14:paraId="3ED4BE3E" w14:textId="77777777" w:rsidR="007177A3" w:rsidRPr="008F7C1E" w:rsidRDefault="007177A3" w:rsidP="002805C6">
            <w:pPr>
              <w:rPr>
                <w:b/>
                <w:bCs/>
                <w:color w:val="FF0000"/>
              </w:rPr>
            </w:pPr>
            <w:r w:rsidRPr="008F7C1E">
              <w:rPr>
                <w:b/>
                <w:bCs/>
              </w:rPr>
              <w:t xml:space="preserve">[    </w:t>
            </w:r>
            <w:r>
              <w:rPr>
                <w:b/>
                <w:bCs/>
              </w:rPr>
              <w:t xml:space="preserve">X </w:t>
            </w:r>
            <w:r w:rsidRPr="008F7C1E">
              <w:rPr>
                <w:b/>
                <w:bCs/>
              </w:rPr>
              <w:t xml:space="preserve">  ]         Formal Action</w:t>
            </w:r>
          </w:p>
        </w:tc>
        <w:tc>
          <w:tcPr>
            <w:tcW w:w="4675" w:type="dxa"/>
          </w:tcPr>
          <w:p w14:paraId="02932D83" w14:textId="77777777" w:rsidR="007177A3" w:rsidRPr="008F7C1E" w:rsidRDefault="007177A3" w:rsidP="002805C6">
            <w:pPr>
              <w:rPr>
                <w:b/>
                <w:bCs/>
                <w:color w:val="FF0000"/>
              </w:rPr>
            </w:pPr>
            <w:r w:rsidRPr="008F7C1E">
              <w:rPr>
                <w:b/>
                <w:bCs/>
              </w:rPr>
              <w:t>[          ]         Report Only</w:t>
            </w:r>
          </w:p>
        </w:tc>
      </w:tr>
    </w:tbl>
    <w:p w14:paraId="0597D84F" w14:textId="77777777" w:rsidR="008701C9" w:rsidRPr="00E4606B" w:rsidRDefault="008701C9" w:rsidP="007177A3">
      <w:pPr>
        <w:tabs>
          <w:tab w:val="left" w:pos="8320"/>
        </w:tabs>
      </w:pPr>
    </w:p>
    <w:p w14:paraId="2D51F6F0" w14:textId="77777777" w:rsidR="00E157D1" w:rsidRPr="00E4606B" w:rsidRDefault="00E157D1" w:rsidP="00E157D1">
      <w:r>
        <w:t>----------------------------------------------------------------------------------------------------------</w:t>
      </w:r>
    </w:p>
    <w:p w14:paraId="3C7B1D6B" w14:textId="77777777" w:rsidR="00E157D1" w:rsidRDefault="00E157D1" w:rsidP="00E157D1">
      <w:pPr>
        <w:pStyle w:val="NoSpacing"/>
        <w:rPr>
          <w:rFonts w:ascii="Times New Roman" w:hAnsi="Times New Roman"/>
          <w:b/>
          <w:bCs/>
          <w:sz w:val="24"/>
          <w:szCs w:val="24"/>
        </w:rPr>
      </w:pPr>
    </w:p>
    <w:p w14:paraId="5A246F9B" w14:textId="77777777" w:rsidR="00E157D1" w:rsidRPr="00F347D0" w:rsidRDefault="00E157D1" w:rsidP="00955368">
      <w:pPr>
        <w:pStyle w:val="NoSpacing"/>
        <w:numPr>
          <w:ilvl w:val="0"/>
          <w:numId w:val="11"/>
        </w:numPr>
        <w:rPr>
          <w:rFonts w:ascii="Times New Roman" w:hAnsi="Times New Roman"/>
          <w:sz w:val="24"/>
          <w:szCs w:val="24"/>
        </w:rPr>
      </w:pPr>
      <w:r>
        <w:rPr>
          <w:rFonts w:ascii="Times New Roman" w:hAnsi="Times New Roman"/>
          <w:b/>
          <w:bCs/>
          <w:sz w:val="24"/>
          <w:szCs w:val="24"/>
        </w:rPr>
        <w:t>BACKGROUND</w:t>
      </w:r>
      <w:r w:rsidRPr="00F347D0">
        <w:rPr>
          <w:rFonts w:ascii="Times New Roman" w:hAnsi="Times New Roman"/>
          <w:sz w:val="24"/>
          <w:szCs w:val="24"/>
        </w:rPr>
        <w:t xml:space="preserve">  </w:t>
      </w:r>
    </w:p>
    <w:p w14:paraId="42DA7010" w14:textId="77777777" w:rsidR="00E157D1" w:rsidRDefault="00E157D1" w:rsidP="00E157D1">
      <w:pPr>
        <w:pStyle w:val="NoSpacing"/>
        <w:rPr>
          <w:rFonts w:ascii="Times New Roman" w:hAnsi="Times New Roman"/>
          <w:sz w:val="24"/>
          <w:szCs w:val="24"/>
        </w:rPr>
      </w:pPr>
    </w:p>
    <w:p w14:paraId="7721E0A1" w14:textId="0AB32CBC" w:rsidR="00C97ABA" w:rsidRDefault="00C97ABA" w:rsidP="00C97ABA">
      <w:pPr>
        <w:pStyle w:val="Default"/>
        <w:ind w:left="720"/>
        <w:rPr>
          <w:sz w:val="23"/>
          <w:szCs w:val="23"/>
        </w:rPr>
      </w:pPr>
      <w:r>
        <w:rPr>
          <w:sz w:val="23"/>
          <w:szCs w:val="23"/>
        </w:rPr>
        <w:t xml:space="preserve">The Heart of Grant County is a nonprofit organization that works with survivors of domestic violence. The organization owns a vacant lot at 115 NW Bridge street where they seek to build a 3,472 sq. ft. building comprised of offices, meeting space, and living quarters to provide resources and emergency shelter to survivors of domestic violence. </w:t>
      </w:r>
      <w:r w:rsidR="002605BC">
        <w:rPr>
          <w:sz w:val="23"/>
          <w:szCs w:val="23"/>
        </w:rPr>
        <w:t>This property is zoned Downtown (D)</w:t>
      </w:r>
      <w:r w:rsidR="00EF5854">
        <w:rPr>
          <w:sz w:val="23"/>
          <w:szCs w:val="23"/>
        </w:rPr>
        <w:t>.</w:t>
      </w:r>
      <w:r w:rsidR="002605BC">
        <w:rPr>
          <w:sz w:val="23"/>
          <w:szCs w:val="23"/>
        </w:rPr>
        <w:t xml:space="preserve"> </w:t>
      </w:r>
    </w:p>
    <w:p w14:paraId="078BD0B4" w14:textId="77777777" w:rsidR="00955368" w:rsidRDefault="00955368" w:rsidP="00955368">
      <w:pPr>
        <w:suppressAutoHyphens/>
        <w:ind w:left="720"/>
        <w:rPr>
          <w:rFonts w:eastAsia="Calibri"/>
          <w:szCs w:val="24"/>
        </w:rPr>
      </w:pPr>
    </w:p>
    <w:p w14:paraId="19D23779" w14:textId="77777777" w:rsidR="008E67B1" w:rsidRPr="00955368" w:rsidRDefault="008E67B1" w:rsidP="00955368">
      <w:pPr>
        <w:pStyle w:val="ListParagraph"/>
        <w:numPr>
          <w:ilvl w:val="0"/>
          <w:numId w:val="11"/>
        </w:numPr>
        <w:suppressAutoHyphens/>
        <w:rPr>
          <w:rFonts w:eastAsia="Calibri"/>
          <w:szCs w:val="24"/>
        </w:rPr>
      </w:pPr>
      <w:r w:rsidRPr="00955368">
        <w:rPr>
          <w:b/>
          <w:bCs/>
        </w:rPr>
        <w:t>APPLICABLE CRITERIA</w:t>
      </w:r>
    </w:p>
    <w:p w14:paraId="30A6EBA2" w14:textId="77777777" w:rsidR="008E67B1" w:rsidRDefault="008E67B1" w:rsidP="00E157D1">
      <w:pPr>
        <w:rPr>
          <w:b/>
          <w:bCs/>
        </w:rPr>
      </w:pPr>
    </w:p>
    <w:p w14:paraId="1BC2684A" w14:textId="1B27DD51" w:rsidR="00C97ABA" w:rsidRDefault="00C97ABA" w:rsidP="00C97ABA">
      <w:pPr>
        <w:ind w:left="720"/>
      </w:pPr>
      <w:r>
        <w:t xml:space="preserve">The proposed development plan requires site design review. A public hearing is required for this application. The Planning Commission’s review must focus on the relevant code </w:t>
      </w:r>
      <w:r>
        <w:lastRenderedPageBreak/>
        <w:t>criteria and follow the public hearing procedures for Type III (Quasi-Judicial) review under Section 5-4.1.040. The Planning Commission should approve the request, including the site plan, if it conforms to the approval criteria or if it can be made to conform to the criteria through the imposition of reasonable conditions.</w:t>
      </w:r>
    </w:p>
    <w:p w14:paraId="3C594D56" w14:textId="77777777" w:rsidR="009A12EC" w:rsidRDefault="008E67B1" w:rsidP="009A12EC">
      <w:pPr>
        <w:ind w:left="720"/>
        <w:rPr>
          <w:bCs/>
        </w:rPr>
      </w:pPr>
      <w:r>
        <w:rPr>
          <w:bCs/>
        </w:rPr>
        <w:t xml:space="preserve">  </w:t>
      </w:r>
    </w:p>
    <w:p w14:paraId="48F8BF5F" w14:textId="6AF1AA74" w:rsidR="000403CF" w:rsidRPr="009A12EC" w:rsidRDefault="000403CF" w:rsidP="009A12EC">
      <w:pPr>
        <w:ind w:left="720"/>
        <w:rPr>
          <w:bCs/>
        </w:rPr>
      </w:pPr>
      <w:r>
        <w:t xml:space="preserve">The Site Design Review procedure can be conducted using a Type </w:t>
      </w:r>
      <w:r w:rsidR="00C97ABA">
        <w:t>I</w:t>
      </w:r>
      <w:r>
        <w:t>I procedure, consistent with Chapter 5-4.1 except for proposals exceeding the thresholds below which are reviewed using a type III procedure:</w:t>
      </w:r>
    </w:p>
    <w:p w14:paraId="09D28545" w14:textId="77777777" w:rsidR="000403CF" w:rsidRDefault="000403CF" w:rsidP="000403CF">
      <w:pPr>
        <w:autoSpaceDE w:val="0"/>
        <w:autoSpaceDN w:val="0"/>
        <w:adjustRightInd w:val="0"/>
        <w:ind w:left="360"/>
      </w:pPr>
    </w:p>
    <w:p w14:paraId="6C4F4ECD" w14:textId="77777777" w:rsidR="000403CF" w:rsidRDefault="000403CF" w:rsidP="000403CF">
      <w:pPr>
        <w:pStyle w:val="ListParagraph"/>
        <w:numPr>
          <w:ilvl w:val="0"/>
          <w:numId w:val="6"/>
        </w:numPr>
        <w:autoSpaceDE w:val="0"/>
        <w:autoSpaceDN w:val="0"/>
        <w:adjustRightInd w:val="0"/>
        <w:contextualSpacing w:val="0"/>
      </w:pPr>
      <w:r>
        <w:t xml:space="preserve">The proposed use’s estimated vehicle trip generation exceeds 100 average daily trips, based </w:t>
      </w:r>
      <w:r w:rsidRPr="00CF7A31">
        <w:t>on the latest edition of the Institute of Transportation Engineers (ITE) Manual. (This is the</w:t>
      </w:r>
      <w:r>
        <w:t xml:space="preserve"> </w:t>
      </w:r>
      <w:r w:rsidRPr="00CF7A31">
        <w:t>equivalent of approximately 10 dwelling units or a 1,000 square foot bank with drive-thru</w:t>
      </w:r>
      <w:r>
        <w:t xml:space="preserve"> </w:t>
      </w:r>
      <w:r w:rsidRPr="00CF7A31">
        <w:t>window.); or the use exceeds 5,000 square feet of gross leasable floor area; or the project</w:t>
      </w:r>
      <w:r>
        <w:t xml:space="preserve"> </w:t>
      </w:r>
      <w:r w:rsidRPr="00CF7A31">
        <w:t>involves more than one (1) acre total site area.</w:t>
      </w:r>
    </w:p>
    <w:p w14:paraId="398F0B27" w14:textId="77777777" w:rsidR="000403CF" w:rsidRDefault="000403CF" w:rsidP="000403CF">
      <w:pPr>
        <w:pStyle w:val="ListParagraph"/>
        <w:numPr>
          <w:ilvl w:val="0"/>
          <w:numId w:val="6"/>
        </w:numPr>
        <w:autoSpaceDE w:val="0"/>
        <w:autoSpaceDN w:val="0"/>
        <w:adjustRightInd w:val="0"/>
        <w:contextualSpacing w:val="0"/>
      </w:pPr>
      <w:r w:rsidRPr="00CF7A31">
        <w:t>The proposal involves a conditional use.</w:t>
      </w:r>
    </w:p>
    <w:p w14:paraId="3FABBA99" w14:textId="77777777" w:rsidR="000403CF" w:rsidRDefault="000403CF" w:rsidP="000403CF">
      <w:pPr>
        <w:pStyle w:val="ListParagraph"/>
        <w:numPr>
          <w:ilvl w:val="0"/>
          <w:numId w:val="6"/>
        </w:numPr>
        <w:autoSpaceDE w:val="0"/>
        <w:autoSpaceDN w:val="0"/>
        <w:adjustRightInd w:val="0"/>
        <w:contextualSpacing w:val="0"/>
      </w:pPr>
      <w:r w:rsidRPr="00CF7A31">
        <w:t>The proposal involves an adjustment to a development standard, as provided under</w:t>
      </w:r>
      <w:r>
        <w:t xml:space="preserve"> </w:t>
      </w:r>
      <w:r w:rsidRPr="00CF7A31">
        <w:t>subsection 5-4.2.060(B).</w:t>
      </w:r>
    </w:p>
    <w:p w14:paraId="3A225AD8" w14:textId="77777777" w:rsidR="000403CF" w:rsidRDefault="000403CF" w:rsidP="000403CF">
      <w:pPr>
        <w:pStyle w:val="ListParagraph"/>
        <w:numPr>
          <w:ilvl w:val="0"/>
          <w:numId w:val="6"/>
        </w:numPr>
        <w:autoSpaceDE w:val="0"/>
        <w:autoSpaceDN w:val="0"/>
        <w:adjustRightInd w:val="0"/>
        <w:contextualSpacing w:val="0"/>
      </w:pPr>
      <w:r w:rsidRPr="00CF7A31">
        <w:t>The City Planning Official determines that, due to the nature of the proposal, a public</w:t>
      </w:r>
      <w:r>
        <w:t xml:space="preserve"> </w:t>
      </w:r>
      <w:r w:rsidRPr="00CF7A31">
        <w:t>hearing is the most effective way to solicit public input in reviewing the application.</w:t>
      </w:r>
    </w:p>
    <w:p w14:paraId="5303F373" w14:textId="77777777" w:rsidR="000403CF" w:rsidRPr="00CF7A31" w:rsidRDefault="000403CF" w:rsidP="000403CF">
      <w:pPr>
        <w:pStyle w:val="ListParagraph"/>
        <w:numPr>
          <w:ilvl w:val="0"/>
          <w:numId w:val="6"/>
        </w:numPr>
        <w:autoSpaceDE w:val="0"/>
        <w:autoSpaceDN w:val="0"/>
        <w:adjustRightInd w:val="0"/>
        <w:contextualSpacing w:val="0"/>
      </w:pPr>
      <w:r w:rsidRPr="00CF7A31">
        <w:t>The proposal involves expansion of a non-conforming use.</w:t>
      </w:r>
    </w:p>
    <w:p w14:paraId="599F5A98" w14:textId="77777777" w:rsidR="00955368" w:rsidRDefault="00955368" w:rsidP="00E157D1">
      <w:pPr>
        <w:rPr>
          <w:b/>
          <w:bCs/>
        </w:rPr>
      </w:pPr>
    </w:p>
    <w:p w14:paraId="51634E90" w14:textId="77777777" w:rsidR="00E157D1" w:rsidRPr="00955368" w:rsidRDefault="007C0A1E" w:rsidP="00955368">
      <w:pPr>
        <w:pStyle w:val="ListParagraph"/>
        <w:numPr>
          <w:ilvl w:val="0"/>
          <w:numId w:val="11"/>
        </w:numPr>
        <w:rPr>
          <w:b/>
          <w:bCs/>
        </w:rPr>
      </w:pPr>
      <w:r w:rsidRPr="00955368">
        <w:rPr>
          <w:b/>
          <w:bCs/>
        </w:rPr>
        <w:t xml:space="preserve">PLANNING COMMISSION </w:t>
      </w:r>
      <w:r w:rsidR="00E157D1" w:rsidRPr="00955368">
        <w:rPr>
          <w:b/>
          <w:bCs/>
        </w:rPr>
        <w:t>CONSIDERATIONS</w:t>
      </w:r>
    </w:p>
    <w:p w14:paraId="69C9BFE1" w14:textId="77777777" w:rsidR="00E157D1" w:rsidRPr="00F347D0" w:rsidRDefault="00E157D1" w:rsidP="00E157D1">
      <w:r w:rsidRPr="00F347D0">
        <w:t xml:space="preserve">  </w:t>
      </w:r>
    </w:p>
    <w:p w14:paraId="7BD30535" w14:textId="77777777" w:rsidR="008E67B1" w:rsidRDefault="008E67B1" w:rsidP="007C0A1E">
      <w:pPr>
        <w:pStyle w:val="BodyTextIndent"/>
        <w:tabs>
          <w:tab w:val="clear" w:pos="0"/>
          <w:tab w:val="clear" w:pos="36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jc w:val="left"/>
        <w:rPr>
          <w:rFonts w:ascii="Times New Roman" w:hAnsi="Times New Roman" w:cs="Times New Roman"/>
        </w:rPr>
      </w:pPr>
      <w:r>
        <w:rPr>
          <w:rFonts w:ascii="Times New Roman" w:hAnsi="Times New Roman" w:cs="Times New Roman"/>
        </w:rPr>
        <w:t xml:space="preserve">The Planning Commission’s review must focus on the relevant code criteria and follow the public hearing requirements for a </w:t>
      </w:r>
      <w:r w:rsidR="004460C7">
        <w:rPr>
          <w:rFonts w:ascii="Times New Roman" w:hAnsi="Times New Roman" w:cs="Times New Roman"/>
        </w:rPr>
        <w:t xml:space="preserve">Type </w:t>
      </w:r>
      <w:r w:rsidR="00476C41">
        <w:rPr>
          <w:rFonts w:ascii="Times New Roman" w:hAnsi="Times New Roman" w:cs="Times New Roman"/>
        </w:rPr>
        <w:t xml:space="preserve">III </w:t>
      </w:r>
      <w:r w:rsidR="000403CF">
        <w:rPr>
          <w:rFonts w:ascii="Times New Roman" w:hAnsi="Times New Roman" w:cs="Times New Roman"/>
        </w:rPr>
        <w:t>Quasi-Judi</w:t>
      </w:r>
      <w:r w:rsidR="007C0A1E">
        <w:rPr>
          <w:rFonts w:ascii="Times New Roman" w:hAnsi="Times New Roman" w:cs="Times New Roman"/>
        </w:rPr>
        <w:t>cial procedure under section 5-</w:t>
      </w:r>
      <w:r w:rsidR="000403CF">
        <w:rPr>
          <w:rFonts w:ascii="Times New Roman" w:hAnsi="Times New Roman" w:cs="Times New Roman"/>
        </w:rPr>
        <w:t>4.1.04</w:t>
      </w:r>
      <w:r w:rsidR="004460C7">
        <w:rPr>
          <w:rFonts w:ascii="Times New Roman" w:hAnsi="Times New Roman" w:cs="Times New Roman"/>
        </w:rPr>
        <w:t xml:space="preserve">0.  The Planning Commission should </w:t>
      </w:r>
      <w:r w:rsidR="007C0A1E">
        <w:rPr>
          <w:rFonts w:ascii="Times New Roman" w:hAnsi="Times New Roman" w:cs="Times New Roman"/>
        </w:rPr>
        <w:t xml:space="preserve">approve the request if it conforms to the </w:t>
      </w:r>
      <w:r w:rsidR="004460C7">
        <w:rPr>
          <w:rFonts w:ascii="Times New Roman" w:hAnsi="Times New Roman" w:cs="Times New Roman"/>
        </w:rPr>
        <w:t xml:space="preserve">approval criteria.  </w:t>
      </w:r>
    </w:p>
    <w:p w14:paraId="697BC6BA" w14:textId="77777777" w:rsidR="00955368" w:rsidRDefault="00955368" w:rsidP="00E157D1">
      <w:pPr>
        <w:rPr>
          <w:szCs w:val="24"/>
        </w:rPr>
      </w:pPr>
    </w:p>
    <w:p w14:paraId="4C83ACCE" w14:textId="77777777" w:rsidR="00E157D1" w:rsidRPr="00955368" w:rsidRDefault="00E157D1" w:rsidP="00955368">
      <w:pPr>
        <w:pStyle w:val="ListParagraph"/>
        <w:numPr>
          <w:ilvl w:val="0"/>
          <w:numId w:val="11"/>
        </w:numPr>
        <w:rPr>
          <w:b/>
          <w:bCs/>
        </w:rPr>
      </w:pPr>
      <w:r w:rsidRPr="00955368">
        <w:rPr>
          <w:b/>
          <w:bCs/>
        </w:rPr>
        <w:t>STAFF RECOMMENDATION</w:t>
      </w:r>
    </w:p>
    <w:p w14:paraId="72892F81" w14:textId="77777777" w:rsidR="00E157D1" w:rsidRDefault="00E157D1" w:rsidP="00E157D1">
      <w:pPr>
        <w:rPr>
          <w:b/>
          <w:bCs/>
        </w:rPr>
      </w:pPr>
    </w:p>
    <w:p w14:paraId="13F04B72" w14:textId="7D077178" w:rsidR="00E157D1" w:rsidRPr="001D67C7" w:rsidRDefault="00E157D1" w:rsidP="001D67C7">
      <w:pPr>
        <w:ind w:left="720"/>
        <w:rPr>
          <w:b/>
          <w:u w:val="single"/>
        </w:rPr>
      </w:pPr>
      <w:r w:rsidRPr="002201F6">
        <w:t xml:space="preserve">Staff recommends that the </w:t>
      </w:r>
      <w:r w:rsidR="008E67B1">
        <w:t xml:space="preserve">Planning Commission </w:t>
      </w:r>
      <w:r w:rsidR="000403CF">
        <w:rPr>
          <w:b/>
          <w:u w:val="single"/>
        </w:rPr>
        <w:t>approve</w:t>
      </w:r>
      <w:r w:rsidR="001D67C7">
        <w:rPr>
          <w:b/>
          <w:u w:val="single"/>
        </w:rPr>
        <w:t xml:space="preserve"> </w:t>
      </w:r>
      <w:r w:rsidR="00C97ABA">
        <w:rPr>
          <w:b/>
          <w:u w:val="single"/>
        </w:rPr>
        <w:t>SDR-19-05.</w:t>
      </w:r>
    </w:p>
    <w:p w14:paraId="048B1754" w14:textId="77777777" w:rsidR="00E157D1" w:rsidRDefault="00E157D1" w:rsidP="004460C7">
      <w:pPr>
        <w:ind w:left="1440"/>
      </w:pPr>
    </w:p>
    <w:p w14:paraId="670AACDB" w14:textId="77777777" w:rsidR="004460C7" w:rsidRDefault="004460C7" w:rsidP="00955368">
      <w:pPr>
        <w:pStyle w:val="NoSpacing"/>
        <w:numPr>
          <w:ilvl w:val="0"/>
          <w:numId w:val="11"/>
        </w:numPr>
        <w:rPr>
          <w:rFonts w:ascii="Times New Roman" w:hAnsi="Times New Roman"/>
          <w:b/>
        </w:rPr>
      </w:pPr>
      <w:r>
        <w:rPr>
          <w:rFonts w:ascii="Times New Roman" w:hAnsi="Times New Roman"/>
          <w:b/>
        </w:rPr>
        <w:t>PUBLIC NOTIFICATION</w:t>
      </w:r>
    </w:p>
    <w:p w14:paraId="1F96485E" w14:textId="77777777" w:rsidR="004460C7" w:rsidRDefault="004460C7" w:rsidP="00E157D1">
      <w:pPr>
        <w:pStyle w:val="NoSpacing"/>
        <w:rPr>
          <w:rFonts w:ascii="Times New Roman" w:hAnsi="Times New Roman"/>
          <w:b/>
        </w:rPr>
      </w:pPr>
      <w:r>
        <w:rPr>
          <w:rFonts w:ascii="Times New Roman" w:hAnsi="Times New Roman"/>
          <w:b/>
        </w:rPr>
        <w:tab/>
      </w:r>
    </w:p>
    <w:p w14:paraId="63630CD2" w14:textId="5156FD5E" w:rsidR="004460C7" w:rsidRDefault="004460C7" w:rsidP="00EC593D">
      <w:pPr>
        <w:pStyle w:val="NoSpacing"/>
        <w:ind w:left="720"/>
        <w:rPr>
          <w:rFonts w:ascii="Times New Roman" w:hAnsi="Times New Roman"/>
        </w:rPr>
      </w:pPr>
      <w:r>
        <w:rPr>
          <w:rFonts w:ascii="Times New Roman" w:hAnsi="Times New Roman"/>
        </w:rPr>
        <w:t xml:space="preserve">The City of John Day mailed </w:t>
      </w:r>
      <w:r w:rsidR="00E90998">
        <w:rPr>
          <w:rFonts w:ascii="Times New Roman" w:hAnsi="Times New Roman"/>
        </w:rPr>
        <w:t>public</w:t>
      </w:r>
      <w:r>
        <w:rPr>
          <w:rFonts w:ascii="Times New Roman" w:hAnsi="Times New Roman"/>
        </w:rPr>
        <w:t xml:space="preserve"> notice to all affected property owners and published </w:t>
      </w:r>
      <w:r w:rsidR="00EC593D">
        <w:rPr>
          <w:rFonts w:ascii="Times New Roman" w:hAnsi="Times New Roman"/>
        </w:rPr>
        <w:t xml:space="preserve">notice in </w:t>
      </w:r>
      <w:r>
        <w:rPr>
          <w:rFonts w:ascii="Times New Roman" w:hAnsi="Times New Roman"/>
        </w:rPr>
        <w:t xml:space="preserve">the Blue Mountain </w:t>
      </w:r>
      <w:r w:rsidR="00E90998">
        <w:rPr>
          <w:rFonts w:ascii="Times New Roman" w:hAnsi="Times New Roman"/>
        </w:rPr>
        <w:t>Eagle</w:t>
      </w:r>
      <w:r w:rsidR="00C97ABA">
        <w:rPr>
          <w:rFonts w:ascii="Times New Roman" w:hAnsi="Times New Roman"/>
        </w:rPr>
        <w:t xml:space="preserve"> a</w:t>
      </w:r>
      <w:r w:rsidR="00E90998">
        <w:rPr>
          <w:rFonts w:ascii="Times New Roman" w:hAnsi="Times New Roman"/>
        </w:rPr>
        <w:t>s</w:t>
      </w:r>
      <w:r>
        <w:rPr>
          <w:rFonts w:ascii="Times New Roman" w:hAnsi="Times New Roman"/>
        </w:rPr>
        <w:t xml:space="preserve"> required by the Development Code.</w:t>
      </w:r>
      <w:r w:rsidR="00EC593D">
        <w:rPr>
          <w:rFonts w:ascii="Times New Roman" w:hAnsi="Times New Roman"/>
        </w:rPr>
        <w:t xml:space="preserve"> No public comments were received. </w:t>
      </w:r>
    </w:p>
    <w:p w14:paraId="69EFC9D9" w14:textId="77777777" w:rsidR="008178DB" w:rsidRDefault="008178DB" w:rsidP="00E157D1">
      <w:pPr>
        <w:pStyle w:val="NoSpacing"/>
        <w:rPr>
          <w:rFonts w:ascii="Times New Roman" w:hAnsi="Times New Roman"/>
        </w:rPr>
      </w:pPr>
    </w:p>
    <w:p w14:paraId="2F1F89D0" w14:textId="77777777" w:rsidR="008178DB" w:rsidRPr="00955368" w:rsidRDefault="008178DB" w:rsidP="00955368">
      <w:pPr>
        <w:pStyle w:val="ListParagraph"/>
        <w:numPr>
          <w:ilvl w:val="0"/>
          <w:numId w:val="11"/>
        </w:numPr>
        <w:rPr>
          <w:b/>
          <w:sz w:val="22"/>
          <w:szCs w:val="22"/>
        </w:rPr>
      </w:pPr>
      <w:r w:rsidRPr="00955368">
        <w:rPr>
          <w:b/>
          <w:sz w:val="22"/>
          <w:szCs w:val="22"/>
        </w:rPr>
        <w:t>BURDEN OF PROOF</w:t>
      </w:r>
    </w:p>
    <w:p w14:paraId="67F6AD54" w14:textId="77777777" w:rsidR="008178DB" w:rsidRDefault="008178DB" w:rsidP="008178DB"/>
    <w:p w14:paraId="7D645544" w14:textId="77777777" w:rsidR="008178DB" w:rsidRDefault="008178DB" w:rsidP="008178DB">
      <w:pPr>
        <w:ind w:left="720"/>
        <w:rPr>
          <w:sz w:val="22"/>
          <w:szCs w:val="22"/>
        </w:rPr>
      </w:pPr>
      <w:r w:rsidRPr="008178DB">
        <w:rPr>
          <w:sz w:val="22"/>
          <w:szCs w:val="22"/>
        </w:rPr>
        <w:t>The applicant has the burden of demonstrating that the proposal meets all applicable Code requirements. The applicant is also responsible for complying with building code requirements and applicable state or federal requirements. It is the Planning Commission’s responsibility to interpret the Code based on findings of fact.</w:t>
      </w:r>
    </w:p>
    <w:p w14:paraId="0D28052C" w14:textId="77777777" w:rsidR="00955368" w:rsidRPr="008178DB" w:rsidRDefault="00955368" w:rsidP="008178DB">
      <w:pPr>
        <w:ind w:left="720"/>
        <w:rPr>
          <w:sz w:val="22"/>
          <w:szCs w:val="22"/>
        </w:rPr>
      </w:pPr>
    </w:p>
    <w:p w14:paraId="535B1903" w14:textId="77777777" w:rsidR="00E157D1" w:rsidRDefault="00EC593D" w:rsidP="00955368">
      <w:pPr>
        <w:pStyle w:val="NoSpacing"/>
        <w:numPr>
          <w:ilvl w:val="0"/>
          <w:numId w:val="11"/>
        </w:numPr>
        <w:rPr>
          <w:rFonts w:ascii="Times New Roman" w:hAnsi="Times New Roman"/>
          <w:b/>
        </w:rPr>
      </w:pPr>
      <w:r>
        <w:rPr>
          <w:rFonts w:ascii="Times New Roman" w:hAnsi="Times New Roman"/>
          <w:b/>
        </w:rPr>
        <w:t>APPROVAL CRITERIA</w:t>
      </w:r>
      <w:r w:rsidR="00E157D1" w:rsidRPr="00E60F04">
        <w:rPr>
          <w:rFonts w:ascii="Times New Roman" w:hAnsi="Times New Roman"/>
          <w:b/>
        </w:rPr>
        <w:t xml:space="preserve"> AND FINDINGS</w:t>
      </w:r>
    </w:p>
    <w:p w14:paraId="68DB727C" w14:textId="77777777" w:rsidR="00E157D1" w:rsidRDefault="00E157D1" w:rsidP="00854440">
      <w:pPr>
        <w:widowControl w:val="0"/>
        <w:rPr>
          <w:szCs w:val="24"/>
        </w:rPr>
      </w:pPr>
    </w:p>
    <w:p w14:paraId="3C95D954" w14:textId="4D7D80C4" w:rsidR="009A12EC" w:rsidRPr="002605BC" w:rsidRDefault="004460C7" w:rsidP="009A12EC">
      <w:pPr>
        <w:widowControl w:val="0"/>
        <w:rPr>
          <w:szCs w:val="24"/>
        </w:rPr>
      </w:pPr>
      <w:r>
        <w:rPr>
          <w:szCs w:val="24"/>
        </w:rPr>
        <w:tab/>
      </w:r>
      <w:r w:rsidR="00E157D1">
        <w:rPr>
          <w:szCs w:val="24"/>
        </w:rPr>
        <w:t>The following section</w:t>
      </w:r>
      <w:r w:rsidR="008E67B1">
        <w:rPr>
          <w:szCs w:val="24"/>
        </w:rPr>
        <w:t xml:space="preserve"> shown in italics and boldface</w:t>
      </w:r>
      <w:r w:rsidR="00E157D1">
        <w:rPr>
          <w:szCs w:val="24"/>
        </w:rPr>
        <w:t xml:space="preserve"> provides the </w:t>
      </w:r>
      <w:r w:rsidR="002A2917">
        <w:rPr>
          <w:szCs w:val="24"/>
        </w:rPr>
        <w:t>decision-making</w:t>
      </w:r>
      <w:r w:rsidR="00E157D1">
        <w:rPr>
          <w:szCs w:val="24"/>
        </w:rPr>
        <w:t xml:space="preserve"> criteria </w:t>
      </w:r>
      <w:r>
        <w:rPr>
          <w:szCs w:val="24"/>
        </w:rPr>
        <w:lastRenderedPageBreak/>
        <w:tab/>
      </w:r>
      <w:r w:rsidR="00E157D1">
        <w:rPr>
          <w:szCs w:val="24"/>
        </w:rPr>
        <w:t>as required by John Day Development Code Section</w:t>
      </w:r>
      <w:r w:rsidR="000403CF">
        <w:rPr>
          <w:szCs w:val="24"/>
        </w:rPr>
        <w:t xml:space="preserve"> </w:t>
      </w:r>
      <w:r w:rsidR="002605BC">
        <w:rPr>
          <w:bCs/>
        </w:rPr>
        <w:t>5-4.</w:t>
      </w:r>
    </w:p>
    <w:p w14:paraId="5BBF3AA3" w14:textId="77777777" w:rsidR="009A12EC" w:rsidRPr="00955368" w:rsidRDefault="009A12EC" w:rsidP="009A12EC">
      <w:pPr>
        <w:widowControl w:val="0"/>
        <w:rPr>
          <w:i/>
          <w:szCs w:val="24"/>
        </w:rPr>
      </w:pPr>
      <w:r w:rsidRPr="00955368">
        <w:rPr>
          <w:i/>
          <w:szCs w:val="24"/>
        </w:rPr>
        <w:t>5-4.2.060 Site Design Review - Approval Criteria; Adjustments</w:t>
      </w:r>
    </w:p>
    <w:p w14:paraId="52397839" w14:textId="77777777" w:rsidR="009A12EC" w:rsidRPr="00955368" w:rsidRDefault="009A12EC" w:rsidP="009A12EC">
      <w:pPr>
        <w:widowControl w:val="0"/>
        <w:rPr>
          <w:szCs w:val="24"/>
        </w:rPr>
      </w:pPr>
    </w:p>
    <w:p w14:paraId="01C609F6" w14:textId="77777777" w:rsidR="009A12EC" w:rsidRPr="00955368" w:rsidRDefault="009A12EC" w:rsidP="009A12EC">
      <w:pPr>
        <w:widowControl w:val="0"/>
        <w:ind w:left="720"/>
        <w:rPr>
          <w:i/>
          <w:szCs w:val="24"/>
        </w:rPr>
      </w:pPr>
      <w:r w:rsidRPr="00955368">
        <w:rPr>
          <w:i/>
          <w:szCs w:val="24"/>
        </w:rPr>
        <w:t>A. Approval Criteria. An application for Site Design Review shall be approved if the</w:t>
      </w:r>
    </w:p>
    <w:p w14:paraId="2578E162" w14:textId="77777777" w:rsidR="009A12EC" w:rsidRPr="00955368" w:rsidRDefault="009A12EC" w:rsidP="009A12EC">
      <w:pPr>
        <w:widowControl w:val="0"/>
        <w:ind w:left="720"/>
        <w:rPr>
          <w:i/>
          <w:szCs w:val="24"/>
        </w:rPr>
      </w:pPr>
      <w:r w:rsidRPr="00955368">
        <w:rPr>
          <w:i/>
          <w:szCs w:val="24"/>
        </w:rPr>
        <w:t>proposal meets all of the following criteria. The City decision making body may, in</w:t>
      </w:r>
    </w:p>
    <w:p w14:paraId="296B3D3A" w14:textId="77777777" w:rsidR="009A12EC" w:rsidRPr="00955368" w:rsidRDefault="009A12EC" w:rsidP="009A12EC">
      <w:pPr>
        <w:widowControl w:val="0"/>
        <w:ind w:left="720"/>
        <w:rPr>
          <w:i/>
          <w:szCs w:val="24"/>
        </w:rPr>
      </w:pPr>
      <w:r w:rsidRPr="00955368">
        <w:rPr>
          <w:i/>
          <w:szCs w:val="24"/>
        </w:rPr>
        <w:t>approving the application may impose reasonable conditions of approval, consistent with the applicable criteria:</w:t>
      </w:r>
    </w:p>
    <w:p w14:paraId="1218B5A3" w14:textId="77777777" w:rsidR="009A12EC" w:rsidRPr="00955368" w:rsidRDefault="009A12EC" w:rsidP="009A12EC">
      <w:pPr>
        <w:widowControl w:val="0"/>
        <w:ind w:left="720"/>
        <w:rPr>
          <w:i/>
          <w:szCs w:val="24"/>
        </w:rPr>
      </w:pPr>
    </w:p>
    <w:p w14:paraId="58FCE057" w14:textId="77777777" w:rsidR="009A12EC" w:rsidRPr="00955368" w:rsidRDefault="009A12EC" w:rsidP="00955368">
      <w:pPr>
        <w:widowControl w:val="0"/>
        <w:ind w:left="1440"/>
        <w:rPr>
          <w:i/>
          <w:szCs w:val="24"/>
        </w:rPr>
      </w:pPr>
      <w:r w:rsidRPr="00955368">
        <w:rPr>
          <w:i/>
          <w:szCs w:val="24"/>
        </w:rPr>
        <w:t>1. The application is complete, as determined in accordance with Chapter 5-4.1 - Types of Applications and Section 5-4.2.050, above.</w:t>
      </w:r>
    </w:p>
    <w:p w14:paraId="7837574C" w14:textId="77777777" w:rsidR="009A12EC" w:rsidRPr="00955368" w:rsidRDefault="009A12EC" w:rsidP="009A12EC">
      <w:pPr>
        <w:widowControl w:val="0"/>
        <w:ind w:left="720"/>
        <w:rPr>
          <w:i/>
          <w:szCs w:val="24"/>
        </w:rPr>
      </w:pPr>
    </w:p>
    <w:p w14:paraId="7E1CFBD0" w14:textId="77777777" w:rsidR="009A12EC" w:rsidRPr="00955368" w:rsidRDefault="009A12EC" w:rsidP="00955368">
      <w:pPr>
        <w:widowControl w:val="0"/>
        <w:ind w:left="1440"/>
        <w:rPr>
          <w:i/>
          <w:szCs w:val="24"/>
        </w:rPr>
      </w:pPr>
      <w:r w:rsidRPr="00955368">
        <w:rPr>
          <w:i/>
          <w:szCs w:val="24"/>
        </w:rPr>
        <w:t>2. The application complies with all of the applicable provisions of the underlying Land Use District (Article 5-2), including: building and yard setbacks, lot area and</w:t>
      </w:r>
      <w:r w:rsidR="00955368">
        <w:rPr>
          <w:i/>
          <w:szCs w:val="24"/>
        </w:rPr>
        <w:t xml:space="preserve"> </w:t>
      </w:r>
      <w:r w:rsidRPr="00955368">
        <w:rPr>
          <w:i/>
          <w:szCs w:val="24"/>
        </w:rPr>
        <w:t>dimensions, density and floor area, lot coverage, building height, building orientation, architecture, and other applicable standards;</w:t>
      </w:r>
    </w:p>
    <w:p w14:paraId="38F5487C" w14:textId="77777777" w:rsidR="009A12EC" w:rsidRPr="00955368" w:rsidRDefault="009A12EC" w:rsidP="009A12EC">
      <w:pPr>
        <w:widowControl w:val="0"/>
        <w:ind w:left="720"/>
        <w:rPr>
          <w:i/>
          <w:szCs w:val="24"/>
        </w:rPr>
      </w:pPr>
    </w:p>
    <w:p w14:paraId="34EA8282" w14:textId="6E52EC0B" w:rsidR="009A12EC" w:rsidRPr="009A12EC" w:rsidRDefault="009A12EC" w:rsidP="00BE368A">
      <w:pPr>
        <w:widowControl w:val="0"/>
        <w:rPr>
          <w:b/>
          <w:szCs w:val="24"/>
        </w:rPr>
      </w:pPr>
      <w:r w:rsidRPr="009A12EC">
        <w:rPr>
          <w:b/>
          <w:szCs w:val="24"/>
        </w:rPr>
        <w:t xml:space="preserve">Finding: </w:t>
      </w:r>
      <w:r w:rsidRPr="009A12EC">
        <w:rPr>
          <w:szCs w:val="24"/>
        </w:rPr>
        <w:t xml:space="preserve">The application is complete and </w:t>
      </w:r>
      <w:r>
        <w:rPr>
          <w:szCs w:val="24"/>
        </w:rPr>
        <w:t xml:space="preserve">complies with the </w:t>
      </w:r>
      <w:r w:rsidRPr="009A12EC">
        <w:rPr>
          <w:szCs w:val="24"/>
        </w:rPr>
        <w:t xml:space="preserve">provisions of the </w:t>
      </w:r>
      <w:r w:rsidR="002605BC">
        <w:rPr>
          <w:szCs w:val="24"/>
        </w:rPr>
        <w:t>downtown</w:t>
      </w:r>
      <w:r w:rsidR="00007CBD">
        <w:rPr>
          <w:szCs w:val="24"/>
        </w:rPr>
        <w:t xml:space="preserve"> commercial</w:t>
      </w:r>
      <w:r w:rsidR="002605BC">
        <w:rPr>
          <w:szCs w:val="24"/>
        </w:rPr>
        <w:t xml:space="preserve"> </w:t>
      </w:r>
      <w:r>
        <w:rPr>
          <w:szCs w:val="24"/>
        </w:rPr>
        <w:t xml:space="preserve">district see </w:t>
      </w:r>
      <w:r>
        <w:rPr>
          <w:i/>
          <w:szCs w:val="24"/>
        </w:rPr>
        <w:t xml:space="preserve">preliminary plat approval criteria </w:t>
      </w:r>
      <w:r>
        <w:rPr>
          <w:szCs w:val="24"/>
        </w:rPr>
        <w:t xml:space="preserve">for more information. </w:t>
      </w:r>
    </w:p>
    <w:p w14:paraId="239D7751" w14:textId="77777777" w:rsidR="009A12EC" w:rsidRPr="009A12EC" w:rsidRDefault="009A12EC" w:rsidP="009A12EC">
      <w:pPr>
        <w:widowControl w:val="0"/>
        <w:ind w:left="720"/>
        <w:rPr>
          <w:b/>
          <w:i/>
          <w:szCs w:val="24"/>
        </w:rPr>
      </w:pPr>
    </w:p>
    <w:p w14:paraId="6AF719D7" w14:textId="77777777" w:rsidR="009A12EC" w:rsidRPr="00955368" w:rsidRDefault="009A12EC" w:rsidP="00955368">
      <w:pPr>
        <w:widowControl w:val="0"/>
        <w:ind w:left="1440"/>
        <w:rPr>
          <w:i/>
          <w:szCs w:val="24"/>
        </w:rPr>
      </w:pPr>
      <w:r w:rsidRPr="00955368">
        <w:rPr>
          <w:i/>
          <w:szCs w:val="24"/>
        </w:rPr>
        <w:t>3. The applicant shall be required to upgrade any existing development that does not comply with the applicable land use district standards, in conformance with Chapter 5.2, Non-Conforming Uses and Development;</w:t>
      </w:r>
    </w:p>
    <w:p w14:paraId="24A74EE2" w14:textId="77777777" w:rsidR="009A12EC" w:rsidRPr="00955368" w:rsidRDefault="009A12EC" w:rsidP="009A12EC">
      <w:pPr>
        <w:widowControl w:val="0"/>
        <w:ind w:left="720"/>
        <w:rPr>
          <w:i/>
          <w:szCs w:val="24"/>
        </w:rPr>
      </w:pPr>
    </w:p>
    <w:p w14:paraId="4189FEA8" w14:textId="77777777" w:rsidR="009A12EC" w:rsidRPr="00955368" w:rsidRDefault="009A12EC" w:rsidP="00955368">
      <w:pPr>
        <w:widowControl w:val="0"/>
        <w:ind w:left="1440"/>
        <w:rPr>
          <w:i/>
          <w:szCs w:val="24"/>
        </w:rPr>
      </w:pPr>
      <w:r w:rsidRPr="00955368">
        <w:rPr>
          <w:i/>
          <w:szCs w:val="24"/>
        </w:rPr>
        <w:t>4. The proposal complies with all of the Design Standards in Article 5-3:</w:t>
      </w:r>
    </w:p>
    <w:p w14:paraId="65FB429A" w14:textId="77777777" w:rsidR="009A12EC" w:rsidRPr="00955368" w:rsidRDefault="009A12EC" w:rsidP="00955368">
      <w:pPr>
        <w:widowControl w:val="0"/>
        <w:ind w:left="2160"/>
        <w:rPr>
          <w:i/>
          <w:szCs w:val="24"/>
        </w:rPr>
      </w:pPr>
      <w:r w:rsidRPr="00955368">
        <w:rPr>
          <w:i/>
          <w:szCs w:val="24"/>
        </w:rPr>
        <w:t>a. Chapter 5-3.1 - Access and Circulation;</w:t>
      </w:r>
    </w:p>
    <w:p w14:paraId="73370A66" w14:textId="77777777" w:rsidR="009A12EC" w:rsidRPr="00955368" w:rsidRDefault="009A12EC" w:rsidP="00955368">
      <w:pPr>
        <w:widowControl w:val="0"/>
        <w:ind w:left="2160"/>
        <w:rPr>
          <w:i/>
          <w:szCs w:val="24"/>
        </w:rPr>
      </w:pPr>
      <w:r w:rsidRPr="00955368">
        <w:rPr>
          <w:i/>
          <w:szCs w:val="24"/>
        </w:rPr>
        <w:t>b. Chapter 5-3.2 - Landscaping, Significant Vegetation, Street Trees, Fences and Walls;</w:t>
      </w:r>
    </w:p>
    <w:p w14:paraId="2196DFF2" w14:textId="77777777" w:rsidR="009A12EC" w:rsidRPr="00955368" w:rsidRDefault="009A12EC" w:rsidP="00955368">
      <w:pPr>
        <w:widowControl w:val="0"/>
        <w:ind w:left="2160"/>
        <w:rPr>
          <w:i/>
          <w:szCs w:val="24"/>
        </w:rPr>
      </w:pPr>
      <w:r w:rsidRPr="00955368">
        <w:rPr>
          <w:i/>
          <w:szCs w:val="24"/>
        </w:rPr>
        <w:t>c. Chapter 5-3.3 - Parking and Loading, for automobiles and bicycles;</w:t>
      </w:r>
    </w:p>
    <w:p w14:paraId="341A082D" w14:textId="77777777" w:rsidR="009A12EC" w:rsidRPr="00955368" w:rsidRDefault="009A12EC" w:rsidP="00955368">
      <w:pPr>
        <w:widowControl w:val="0"/>
        <w:ind w:left="2160"/>
        <w:rPr>
          <w:i/>
          <w:szCs w:val="24"/>
        </w:rPr>
      </w:pPr>
      <w:r w:rsidRPr="00955368">
        <w:rPr>
          <w:i/>
          <w:szCs w:val="24"/>
        </w:rPr>
        <w:t>d. Chapter 5-3.4 - Public Facilities and Franchise Utilities;</w:t>
      </w:r>
    </w:p>
    <w:p w14:paraId="65B88834" w14:textId="77777777" w:rsidR="009A12EC" w:rsidRPr="00955368" w:rsidRDefault="009A12EC" w:rsidP="00955368">
      <w:pPr>
        <w:widowControl w:val="0"/>
        <w:ind w:left="2160"/>
        <w:rPr>
          <w:i/>
          <w:szCs w:val="24"/>
        </w:rPr>
      </w:pPr>
      <w:r w:rsidRPr="00955368">
        <w:rPr>
          <w:i/>
          <w:szCs w:val="24"/>
        </w:rPr>
        <w:t>e. Chapter 5-3.5 - Signs;</w:t>
      </w:r>
    </w:p>
    <w:p w14:paraId="734E1545" w14:textId="77777777" w:rsidR="009A12EC" w:rsidRDefault="009A12EC" w:rsidP="009A12EC">
      <w:pPr>
        <w:widowControl w:val="0"/>
        <w:rPr>
          <w:b/>
          <w:i/>
          <w:szCs w:val="24"/>
        </w:rPr>
      </w:pPr>
    </w:p>
    <w:p w14:paraId="1592E4DD" w14:textId="77777777" w:rsidR="009A12EC" w:rsidRPr="009A12EC" w:rsidRDefault="009A12EC" w:rsidP="009A12EC">
      <w:pPr>
        <w:widowControl w:val="0"/>
        <w:rPr>
          <w:b/>
          <w:szCs w:val="24"/>
        </w:rPr>
      </w:pPr>
      <w:r>
        <w:rPr>
          <w:b/>
          <w:szCs w:val="24"/>
        </w:rPr>
        <w:t xml:space="preserve">Findings: </w:t>
      </w:r>
      <w:r w:rsidRPr="009A12EC">
        <w:rPr>
          <w:szCs w:val="24"/>
        </w:rPr>
        <w:t>The proposal conforms with the applicable land use district standards.</w:t>
      </w:r>
      <w:r>
        <w:rPr>
          <w:b/>
          <w:szCs w:val="24"/>
        </w:rPr>
        <w:t xml:space="preserve"> </w:t>
      </w:r>
    </w:p>
    <w:p w14:paraId="4AC24A5E" w14:textId="77777777" w:rsidR="00B22AA4" w:rsidRDefault="00B22AA4" w:rsidP="00F12344">
      <w:pPr>
        <w:widowControl w:val="0"/>
        <w:ind w:left="720"/>
        <w:rPr>
          <w:b/>
          <w:i/>
          <w:szCs w:val="24"/>
        </w:rPr>
      </w:pPr>
    </w:p>
    <w:p w14:paraId="1AABD86F" w14:textId="77777777" w:rsidR="00B22AA4" w:rsidRPr="00955368" w:rsidRDefault="00B22AA4" w:rsidP="00955368">
      <w:pPr>
        <w:pStyle w:val="ListParagraph"/>
        <w:numPr>
          <w:ilvl w:val="0"/>
          <w:numId w:val="11"/>
        </w:numPr>
        <w:rPr>
          <w:b/>
        </w:rPr>
      </w:pPr>
      <w:r w:rsidRPr="00955368">
        <w:rPr>
          <w:b/>
        </w:rPr>
        <w:t>PRELIMINARY PLAT APPROVAL CRITERIA</w:t>
      </w:r>
    </w:p>
    <w:p w14:paraId="4D9ADD76" w14:textId="77777777" w:rsidR="00B22AA4" w:rsidRDefault="00B22AA4" w:rsidP="00B22AA4">
      <w:pPr>
        <w:rPr>
          <w:b/>
          <w:u w:val="single"/>
        </w:rPr>
      </w:pPr>
    </w:p>
    <w:p w14:paraId="492EC81D" w14:textId="77777777" w:rsidR="00B22AA4" w:rsidRDefault="00B22AA4" w:rsidP="00B22AA4">
      <w:r>
        <w:t xml:space="preserve">Section </w:t>
      </w:r>
      <w:r w:rsidRPr="0084777A">
        <w:t xml:space="preserve">5-4.3.070 </w:t>
      </w:r>
      <w:r>
        <w:t>contains approval criteria for preliminary plats. The Planning Commission’s evaluation of the project must focus on the relevant code criteria under Section 5-4.3.070 and follow the public hearing procedures for Type III (quasi-judicial) review under Section 5-4.1.040.</w:t>
      </w:r>
    </w:p>
    <w:p w14:paraId="22BFEEFB" w14:textId="77777777" w:rsidR="00B22AA4" w:rsidRDefault="00B22AA4" w:rsidP="00B22AA4"/>
    <w:p w14:paraId="383FE2FC" w14:textId="77777777" w:rsidR="00B22AA4" w:rsidRDefault="00B22AA4" w:rsidP="00B22AA4">
      <w:r>
        <w:t xml:space="preserve">The applicable code criteria are provided below in </w:t>
      </w:r>
      <w:r>
        <w:rPr>
          <w:i/>
        </w:rPr>
        <w:t>italics</w:t>
      </w:r>
      <w:r>
        <w:t xml:space="preserve"> typeface; staff’s findings follow each code provision in regular typeface. The findings, which are based on information submitted by the applicant, are preliminary. The plans, exhibits, and narrative submitted by the applicant and used in making the findings are attached to this report and include:</w:t>
      </w:r>
    </w:p>
    <w:p w14:paraId="05F3A22F" w14:textId="77777777" w:rsidR="00B22AA4" w:rsidRDefault="00B22AA4" w:rsidP="00B22AA4"/>
    <w:p w14:paraId="6EA1A73C" w14:textId="645B754A" w:rsidR="00B22AA4" w:rsidRDefault="000E1C35" w:rsidP="00B22AA4">
      <w:pPr>
        <w:numPr>
          <w:ilvl w:val="0"/>
          <w:numId w:val="9"/>
        </w:numPr>
      </w:pPr>
      <w:r>
        <w:t>Site Design Review</w:t>
      </w:r>
      <w:r w:rsidR="00B22AA4">
        <w:t xml:space="preserve"> Application (Exhibit A)</w:t>
      </w:r>
    </w:p>
    <w:p w14:paraId="4A99918C" w14:textId="77777777" w:rsidR="00B22AA4" w:rsidRDefault="00B22AA4" w:rsidP="00B22AA4">
      <w:pPr>
        <w:numPr>
          <w:ilvl w:val="0"/>
          <w:numId w:val="9"/>
        </w:numPr>
      </w:pPr>
      <w:r>
        <w:t>Preliminary Plat (Exhibit B)</w:t>
      </w:r>
    </w:p>
    <w:p w14:paraId="00717F4E" w14:textId="77777777" w:rsidR="00B22AA4" w:rsidRDefault="00B22AA4" w:rsidP="00B22AA4"/>
    <w:p w14:paraId="1D2D85D7" w14:textId="77777777" w:rsidR="00B22AA4" w:rsidRDefault="00B22AA4" w:rsidP="00B22AA4">
      <w:r>
        <w:t>All of the above documents are hereby incorporated and made part of the public record.</w:t>
      </w:r>
    </w:p>
    <w:p w14:paraId="76744CEA" w14:textId="77777777" w:rsidR="00B22AA4" w:rsidRDefault="00B22AA4" w:rsidP="00B22AA4"/>
    <w:p w14:paraId="66B7A11B" w14:textId="77777777" w:rsidR="00B22AA4" w:rsidRPr="00955368" w:rsidRDefault="00B22AA4" w:rsidP="00B22AA4">
      <w:pPr>
        <w:rPr>
          <w:i/>
        </w:rPr>
      </w:pPr>
      <w:r w:rsidRPr="00955368">
        <w:rPr>
          <w:i/>
        </w:rPr>
        <w:t>5-4.3.070 Approval Criteria: Preliminary Plat</w:t>
      </w:r>
    </w:p>
    <w:p w14:paraId="2DAC8737" w14:textId="77777777" w:rsidR="00B22AA4" w:rsidRPr="00955368" w:rsidRDefault="00B22AA4" w:rsidP="00D77B7C">
      <w:pPr>
        <w:spacing w:before="120" w:after="120"/>
        <w:rPr>
          <w:i/>
        </w:rPr>
      </w:pPr>
      <w:r w:rsidRPr="00955368">
        <w:rPr>
          <w:i/>
        </w:rPr>
        <w:t xml:space="preserve">A. General Approval Criteria. The City may approve, approve with conditions or deny a preliminary plat based on the following approval criteria: </w:t>
      </w:r>
    </w:p>
    <w:p w14:paraId="4ECC0CDD" w14:textId="77777777" w:rsidR="00B22AA4" w:rsidRPr="00955368" w:rsidRDefault="00B22AA4" w:rsidP="00D77B7C">
      <w:pPr>
        <w:spacing w:before="120" w:after="120"/>
        <w:ind w:left="720"/>
        <w:rPr>
          <w:i/>
        </w:rPr>
      </w:pPr>
      <w:r w:rsidRPr="00955368">
        <w:rPr>
          <w:i/>
        </w:rPr>
        <w:t xml:space="preserve">1. The proposed preliminary plat complies with </w:t>
      </w:r>
      <w:r w:rsidR="00BE368A" w:rsidRPr="00955368">
        <w:rPr>
          <w:i/>
        </w:rPr>
        <w:t xml:space="preserve">the applicable Development Code </w:t>
      </w:r>
      <w:r w:rsidRPr="00955368">
        <w:rPr>
          <w:i/>
        </w:rPr>
        <w:t>sections and all other applicable ordinances and regulations. At a minimum, the provisions of this Article, and the applicable chapters and sections of Article 5-2 (Land Use Districts) and Article 5-3 (Design Standards) shall apply. Where a variance is necessary to receive preliminary plat approval, the application shall also comply with the relevant sections of Article 5-5;</w:t>
      </w:r>
    </w:p>
    <w:p w14:paraId="3DA2F954" w14:textId="6BA3C425" w:rsidR="00007CBD" w:rsidRDefault="00B22AA4" w:rsidP="00BE368A">
      <w:pPr>
        <w:spacing w:before="120" w:after="120"/>
      </w:pPr>
      <w:r w:rsidRPr="00203442">
        <w:rPr>
          <w:b/>
        </w:rPr>
        <w:t>Findings:</w:t>
      </w: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176"/>
        <w:gridCol w:w="2387"/>
        <w:gridCol w:w="2307"/>
      </w:tblGrid>
      <w:tr w:rsidR="00EF5854" w:rsidRPr="00CB607F" w14:paraId="456FFCB3" w14:textId="77777777" w:rsidTr="00EF5854">
        <w:trPr>
          <w:trHeight w:val="284"/>
        </w:trPr>
        <w:tc>
          <w:tcPr>
            <w:tcW w:w="2338" w:type="dxa"/>
            <w:shd w:val="clear" w:color="auto" w:fill="auto"/>
          </w:tcPr>
          <w:p w14:paraId="23E1072F" w14:textId="77777777" w:rsidR="00EF5854" w:rsidRPr="00CB607F" w:rsidRDefault="00EF5854" w:rsidP="00811728">
            <w:pPr>
              <w:pStyle w:val="NormalWeb"/>
              <w:rPr>
                <w:b/>
                <w:i/>
              </w:rPr>
            </w:pPr>
            <w:r w:rsidRPr="00CB607F">
              <w:rPr>
                <w:b/>
                <w:i/>
              </w:rPr>
              <w:t>Standard</w:t>
            </w:r>
          </w:p>
        </w:tc>
        <w:tc>
          <w:tcPr>
            <w:tcW w:w="2176" w:type="dxa"/>
            <w:shd w:val="clear" w:color="auto" w:fill="auto"/>
          </w:tcPr>
          <w:p w14:paraId="0ADD52EB" w14:textId="51D35F4B" w:rsidR="00EF5854" w:rsidRPr="00CB607F" w:rsidRDefault="00EF5854" w:rsidP="00811728">
            <w:pPr>
              <w:pStyle w:val="NormalWeb"/>
              <w:rPr>
                <w:b/>
                <w:i/>
              </w:rPr>
            </w:pPr>
            <w:r>
              <w:rPr>
                <w:b/>
                <w:i/>
              </w:rPr>
              <w:t>Downtown (D)</w:t>
            </w:r>
          </w:p>
        </w:tc>
        <w:tc>
          <w:tcPr>
            <w:tcW w:w="2387" w:type="dxa"/>
            <w:shd w:val="clear" w:color="auto" w:fill="auto"/>
          </w:tcPr>
          <w:p w14:paraId="67C2C7BA" w14:textId="77777777" w:rsidR="00EF5854" w:rsidRPr="00CB607F" w:rsidRDefault="00EF5854" w:rsidP="00811728">
            <w:pPr>
              <w:pStyle w:val="NormalWeb"/>
              <w:rPr>
                <w:b/>
                <w:i/>
              </w:rPr>
            </w:pPr>
            <w:r w:rsidRPr="00CB607F">
              <w:rPr>
                <w:b/>
                <w:i/>
              </w:rPr>
              <w:t>Application</w:t>
            </w:r>
          </w:p>
        </w:tc>
        <w:tc>
          <w:tcPr>
            <w:tcW w:w="2307" w:type="dxa"/>
            <w:shd w:val="clear" w:color="auto" w:fill="auto"/>
          </w:tcPr>
          <w:p w14:paraId="367519EA" w14:textId="77777777" w:rsidR="00EF5854" w:rsidRPr="00CB607F" w:rsidRDefault="00EF5854" w:rsidP="00811728">
            <w:pPr>
              <w:pStyle w:val="NormalWeb"/>
              <w:rPr>
                <w:b/>
                <w:i/>
              </w:rPr>
            </w:pPr>
            <w:r w:rsidRPr="00CB607F">
              <w:rPr>
                <w:b/>
                <w:i/>
              </w:rPr>
              <w:t>Finding</w:t>
            </w:r>
          </w:p>
        </w:tc>
      </w:tr>
      <w:tr w:rsidR="00EF5854" w:rsidRPr="00CB607F" w14:paraId="71EC9CB7" w14:textId="77777777" w:rsidTr="00EF5854">
        <w:trPr>
          <w:trHeight w:val="273"/>
        </w:trPr>
        <w:tc>
          <w:tcPr>
            <w:tcW w:w="2338" w:type="dxa"/>
            <w:shd w:val="clear" w:color="auto" w:fill="auto"/>
          </w:tcPr>
          <w:p w14:paraId="743E3EEF" w14:textId="77777777" w:rsidR="00EF5854" w:rsidRPr="0087379B" w:rsidRDefault="00EF5854" w:rsidP="00811728">
            <w:pPr>
              <w:pStyle w:val="NormalWeb"/>
            </w:pPr>
            <w:r w:rsidRPr="0087379B">
              <w:t>Minimum Lot Area</w:t>
            </w:r>
          </w:p>
        </w:tc>
        <w:tc>
          <w:tcPr>
            <w:tcW w:w="2176" w:type="dxa"/>
            <w:shd w:val="clear" w:color="auto" w:fill="auto"/>
          </w:tcPr>
          <w:p w14:paraId="130143D9" w14:textId="3666A68D" w:rsidR="00EF5854" w:rsidRPr="0087379B" w:rsidRDefault="00EF5854" w:rsidP="00811728">
            <w:pPr>
              <w:pStyle w:val="NormalWeb"/>
            </w:pPr>
            <w:r>
              <w:t xml:space="preserve">2,000 sf. </w:t>
            </w:r>
          </w:p>
        </w:tc>
        <w:tc>
          <w:tcPr>
            <w:tcW w:w="2387" w:type="dxa"/>
            <w:shd w:val="clear" w:color="auto" w:fill="auto"/>
          </w:tcPr>
          <w:p w14:paraId="32949A66" w14:textId="34BF145F" w:rsidR="00EF5854" w:rsidRPr="0087379B" w:rsidRDefault="00EF5854" w:rsidP="00811728">
            <w:pPr>
              <w:pStyle w:val="NormalWeb"/>
            </w:pPr>
            <w:r>
              <w:t xml:space="preserve">14,726 sf. </w:t>
            </w:r>
          </w:p>
        </w:tc>
        <w:tc>
          <w:tcPr>
            <w:tcW w:w="2307" w:type="dxa"/>
            <w:shd w:val="clear" w:color="auto" w:fill="auto"/>
          </w:tcPr>
          <w:p w14:paraId="09F4083C" w14:textId="77777777" w:rsidR="00EF5854" w:rsidRPr="0087379B" w:rsidRDefault="00EF5854" w:rsidP="00811728">
            <w:pPr>
              <w:pStyle w:val="NormalWeb"/>
            </w:pPr>
            <w:r>
              <w:t>Compliant</w:t>
            </w:r>
          </w:p>
        </w:tc>
      </w:tr>
      <w:tr w:rsidR="00EF5854" w:rsidRPr="00CB607F" w14:paraId="0BEF0840" w14:textId="77777777" w:rsidTr="00EF5854">
        <w:trPr>
          <w:trHeight w:val="284"/>
        </w:trPr>
        <w:tc>
          <w:tcPr>
            <w:tcW w:w="2338" w:type="dxa"/>
            <w:shd w:val="clear" w:color="auto" w:fill="auto"/>
          </w:tcPr>
          <w:p w14:paraId="1D451E28" w14:textId="77777777" w:rsidR="00EF5854" w:rsidRPr="0087379B" w:rsidRDefault="00EF5854" w:rsidP="00811728">
            <w:pPr>
              <w:pStyle w:val="NormalWeb"/>
            </w:pPr>
            <w:r>
              <w:t>Min. Lot Width</w:t>
            </w:r>
          </w:p>
        </w:tc>
        <w:tc>
          <w:tcPr>
            <w:tcW w:w="2176" w:type="dxa"/>
            <w:shd w:val="clear" w:color="auto" w:fill="auto"/>
          </w:tcPr>
          <w:p w14:paraId="7FA299CD" w14:textId="5C569C8F" w:rsidR="00EF5854" w:rsidRPr="0087379B" w:rsidRDefault="00EF5854" w:rsidP="00811728">
            <w:pPr>
              <w:pStyle w:val="NormalWeb"/>
            </w:pPr>
            <w:r>
              <w:t>2</w:t>
            </w:r>
            <w:r>
              <w:t xml:space="preserve">0 </w:t>
            </w:r>
            <w:r>
              <w:t xml:space="preserve">ft. </w:t>
            </w:r>
          </w:p>
        </w:tc>
        <w:tc>
          <w:tcPr>
            <w:tcW w:w="2387" w:type="dxa"/>
            <w:shd w:val="clear" w:color="auto" w:fill="auto"/>
          </w:tcPr>
          <w:p w14:paraId="1BF3534C" w14:textId="6C15228B" w:rsidR="00EF5854" w:rsidRPr="0087379B" w:rsidRDefault="00EF5854" w:rsidP="00811728">
            <w:pPr>
              <w:pStyle w:val="NormalWeb"/>
            </w:pPr>
            <w:r>
              <w:t>93</w:t>
            </w:r>
            <w:r>
              <w:t xml:space="preserve"> ft</w:t>
            </w:r>
            <w:r>
              <w:t xml:space="preserve">. </w:t>
            </w:r>
          </w:p>
        </w:tc>
        <w:tc>
          <w:tcPr>
            <w:tcW w:w="2307" w:type="dxa"/>
            <w:shd w:val="clear" w:color="auto" w:fill="auto"/>
          </w:tcPr>
          <w:p w14:paraId="60CF4DF8" w14:textId="77777777" w:rsidR="00EF5854" w:rsidRPr="0087379B" w:rsidRDefault="00EF5854" w:rsidP="00811728">
            <w:pPr>
              <w:pStyle w:val="NormalWeb"/>
            </w:pPr>
            <w:r>
              <w:t>Compliant</w:t>
            </w:r>
          </w:p>
        </w:tc>
      </w:tr>
      <w:tr w:rsidR="00EF5854" w:rsidRPr="00CB607F" w14:paraId="391F1924" w14:textId="77777777" w:rsidTr="00EF5854">
        <w:trPr>
          <w:trHeight w:val="558"/>
        </w:trPr>
        <w:tc>
          <w:tcPr>
            <w:tcW w:w="2338" w:type="dxa"/>
            <w:shd w:val="clear" w:color="auto" w:fill="auto"/>
          </w:tcPr>
          <w:p w14:paraId="6C1C3AF7" w14:textId="77777777" w:rsidR="00EF5854" w:rsidRPr="0087379B" w:rsidRDefault="00EF5854" w:rsidP="00811728">
            <w:pPr>
              <w:pStyle w:val="NormalWeb"/>
            </w:pPr>
            <w:r>
              <w:t>Min. Lot Depth</w:t>
            </w:r>
          </w:p>
        </w:tc>
        <w:tc>
          <w:tcPr>
            <w:tcW w:w="2176" w:type="dxa"/>
            <w:shd w:val="clear" w:color="auto" w:fill="auto"/>
          </w:tcPr>
          <w:p w14:paraId="120F0D05" w14:textId="77777777" w:rsidR="00EF5854" w:rsidRPr="0087379B" w:rsidRDefault="00EF5854" w:rsidP="00811728">
            <w:pPr>
              <w:pStyle w:val="NormalWeb"/>
            </w:pPr>
            <w:r>
              <w:t>2 times min. width</w:t>
            </w:r>
          </w:p>
        </w:tc>
        <w:tc>
          <w:tcPr>
            <w:tcW w:w="2387" w:type="dxa"/>
            <w:shd w:val="clear" w:color="auto" w:fill="auto"/>
          </w:tcPr>
          <w:p w14:paraId="667332E2" w14:textId="56EF29C1" w:rsidR="00EF5854" w:rsidRPr="0087379B" w:rsidRDefault="00EF5854" w:rsidP="00811728">
            <w:pPr>
              <w:pStyle w:val="NormalWeb"/>
            </w:pPr>
            <w:r>
              <w:t>157</w:t>
            </w:r>
            <w:r>
              <w:t xml:space="preserve"> ft</w:t>
            </w:r>
            <w:r>
              <w:t xml:space="preserve">. </w:t>
            </w:r>
          </w:p>
        </w:tc>
        <w:tc>
          <w:tcPr>
            <w:tcW w:w="2307" w:type="dxa"/>
            <w:shd w:val="clear" w:color="auto" w:fill="auto"/>
          </w:tcPr>
          <w:p w14:paraId="6C73FF89" w14:textId="77777777" w:rsidR="00EF5854" w:rsidRPr="0087379B" w:rsidRDefault="00EF5854" w:rsidP="00811728">
            <w:pPr>
              <w:pStyle w:val="NormalWeb"/>
            </w:pPr>
            <w:r>
              <w:t>Compliant</w:t>
            </w:r>
          </w:p>
        </w:tc>
      </w:tr>
      <w:tr w:rsidR="00EF5854" w:rsidRPr="00CB607F" w14:paraId="48923D29" w14:textId="77777777" w:rsidTr="00EF5854">
        <w:trPr>
          <w:trHeight w:val="284"/>
        </w:trPr>
        <w:tc>
          <w:tcPr>
            <w:tcW w:w="2338" w:type="dxa"/>
            <w:shd w:val="clear" w:color="auto" w:fill="auto"/>
          </w:tcPr>
          <w:p w14:paraId="791442FB" w14:textId="77777777" w:rsidR="00EF5854" w:rsidRPr="0087379B" w:rsidRDefault="00EF5854" w:rsidP="00811728">
            <w:pPr>
              <w:pStyle w:val="NormalWeb"/>
            </w:pPr>
            <w:r>
              <w:t>Building Height</w:t>
            </w:r>
          </w:p>
        </w:tc>
        <w:tc>
          <w:tcPr>
            <w:tcW w:w="2176" w:type="dxa"/>
            <w:shd w:val="clear" w:color="auto" w:fill="auto"/>
          </w:tcPr>
          <w:p w14:paraId="195A8D46" w14:textId="5F9316E6" w:rsidR="00EF5854" w:rsidRPr="0087379B" w:rsidRDefault="00EF5854" w:rsidP="00811728">
            <w:pPr>
              <w:pStyle w:val="NormalWeb"/>
            </w:pPr>
            <w:r>
              <w:t>60</w:t>
            </w:r>
            <w:r>
              <w:t xml:space="preserve"> ft</w:t>
            </w:r>
            <w:r>
              <w:t>.</w:t>
            </w:r>
          </w:p>
        </w:tc>
        <w:tc>
          <w:tcPr>
            <w:tcW w:w="2387" w:type="dxa"/>
            <w:shd w:val="clear" w:color="auto" w:fill="auto"/>
          </w:tcPr>
          <w:p w14:paraId="41EA7419" w14:textId="7E779091" w:rsidR="00EF5854" w:rsidRPr="0087379B" w:rsidRDefault="00EF5854" w:rsidP="00811728">
            <w:pPr>
              <w:pStyle w:val="NormalWeb"/>
            </w:pPr>
            <w:r>
              <w:t>15 ft</w:t>
            </w:r>
            <w:r>
              <w:t>.</w:t>
            </w:r>
            <w:r>
              <w:t xml:space="preserve"> 4 in.</w:t>
            </w:r>
          </w:p>
        </w:tc>
        <w:tc>
          <w:tcPr>
            <w:tcW w:w="2307" w:type="dxa"/>
            <w:shd w:val="clear" w:color="auto" w:fill="auto"/>
          </w:tcPr>
          <w:p w14:paraId="5A74A95D" w14:textId="77777777" w:rsidR="00EF5854" w:rsidRPr="0087379B" w:rsidRDefault="00EF5854" w:rsidP="00811728">
            <w:pPr>
              <w:pStyle w:val="NormalWeb"/>
            </w:pPr>
            <w:r>
              <w:t>Compliant</w:t>
            </w:r>
          </w:p>
        </w:tc>
      </w:tr>
      <w:tr w:rsidR="00EF5854" w:rsidRPr="00CB607F" w14:paraId="26C3BDA8" w14:textId="77777777" w:rsidTr="00EF5854">
        <w:trPr>
          <w:trHeight w:val="284"/>
        </w:trPr>
        <w:tc>
          <w:tcPr>
            <w:tcW w:w="2338" w:type="dxa"/>
            <w:shd w:val="clear" w:color="auto" w:fill="auto"/>
          </w:tcPr>
          <w:p w14:paraId="06D533D7" w14:textId="77777777" w:rsidR="00EF5854" w:rsidRDefault="00EF5854" w:rsidP="00811728">
            <w:pPr>
              <w:pStyle w:val="NormalWeb"/>
            </w:pPr>
            <w:r>
              <w:t>Lot Coverage</w:t>
            </w:r>
          </w:p>
        </w:tc>
        <w:tc>
          <w:tcPr>
            <w:tcW w:w="2176" w:type="dxa"/>
            <w:shd w:val="clear" w:color="auto" w:fill="auto"/>
          </w:tcPr>
          <w:p w14:paraId="3C326B9D" w14:textId="05A890E3" w:rsidR="00EF5854" w:rsidRPr="0087379B" w:rsidRDefault="00EF5854" w:rsidP="00811728">
            <w:pPr>
              <w:pStyle w:val="NormalWeb"/>
            </w:pPr>
            <w:r>
              <w:t>95</w:t>
            </w:r>
            <w:r>
              <w:t>%</w:t>
            </w:r>
            <w:r>
              <w:t xml:space="preserve"> Maximum</w:t>
            </w:r>
          </w:p>
        </w:tc>
        <w:tc>
          <w:tcPr>
            <w:tcW w:w="2387" w:type="dxa"/>
            <w:shd w:val="clear" w:color="auto" w:fill="auto"/>
          </w:tcPr>
          <w:p w14:paraId="75573BD3" w14:textId="48699610" w:rsidR="00EF5854" w:rsidRPr="0087379B" w:rsidRDefault="00EF5854" w:rsidP="00811728">
            <w:pPr>
              <w:pStyle w:val="NormalWeb"/>
            </w:pPr>
            <w:r>
              <w:t>4,188 sf. (28%)</w:t>
            </w:r>
          </w:p>
        </w:tc>
        <w:tc>
          <w:tcPr>
            <w:tcW w:w="2307" w:type="dxa"/>
            <w:shd w:val="clear" w:color="auto" w:fill="auto"/>
          </w:tcPr>
          <w:p w14:paraId="2E9F0D08" w14:textId="77777777" w:rsidR="00EF5854" w:rsidRPr="0087379B" w:rsidRDefault="00EF5854" w:rsidP="00811728">
            <w:pPr>
              <w:pStyle w:val="NormalWeb"/>
            </w:pPr>
            <w:r>
              <w:t>Compliant</w:t>
            </w:r>
          </w:p>
        </w:tc>
      </w:tr>
      <w:tr w:rsidR="00EF5854" w:rsidRPr="00CB607F" w14:paraId="00185121" w14:textId="77777777" w:rsidTr="00EF5854">
        <w:trPr>
          <w:trHeight w:val="273"/>
        </w:trPr>
        <w:tc>
          <w:tcPr>
            <w:tcW w:w="2338" w:type="dxa"/>
            <w:shd w:val="clear" w:color="auto" w:fill="auto"/>
          </w:tcPr>
          <w:p w14:paraId="2FF61F47" w14:textId="6D735A3A" w:rsidR="00EF5854" w:rsidRDefault="00EF5854" w:rsidP="00811728">
            <w:pPr>
              <w:pStyle w:val="NormalWeb"/>
            </w:pPr>
            <w:r>
              <w:t>Landscape Area</w:t>
            </w:r>
          </w:p>
        </w:tc>
        <w:tc>
          <w:tcPr>
            <w:tcW w:w="2176" w:type="dxa"/>
            <w:shd w:val="clear" w:color="auto" w:fill="auto"/>
          </w:tcPr>
          <w:p w14:paraId="101AA9DB" w14:textId="5A731C3A" w:rsidR="00EF5854" w:rsidRDefault="00EF5854" w:rsidP="00811728">
            <w:pPr>
              <w:pStyle w:val="NormalWeb"/>
            </w:pPr>
            <w:r>
              <w:t xml:space="preserve">5% Minimum </w:t>
            </w:r>
          </w:p>
        </w:tc>
        <w:tc>
          <w:tcPr>
            <w:tcW w:w="2387" w:type="dxa"/>
            <w:shd w:val="clear" w:color="auto" w:fill="auto"/>
          </w:tcPr>
          <w:p w14:paraId="69F2FFD6" w14:textId="4E5E1160" w:rsidR="00EF5854" w:rsidRDefault="00EF5854" w:rsidP="00811728">
            <w:pPr>
              <w:pStyle w:val="NormalWeb"/>
            </w:pPr>
            <w:r>
              <w:t>4,866 sf. (33%)</w:t>
            </w:r>
          </w:p>
        </w:tc>
        <w:tc>
          <w:tcPr>
            <w:tcW w:w="2307" w:type="dxa"/>
            <w:shd w:val="clear" w:color="auto" w:fill="auto"/>
          </w:tcPr>
          <w:p w14:paraId="2A4DA74F" w14:textId="0339ECA2" w:rsidR="00EF5854" w:rsidRDefault="00EF5854" w:rsidP="00811728">
            <w:pPr>
              <w:pStyle w:val="NormalWeb"/>
            </w:pPr>
            <w:r>
              <w:t>Compliant</w:t>
            </w:r>
          </w:p>
        </w:tc>
      </w:tr>
      <w:tr w:rsidR="00EF5854" w:rsidRPr="00CB607F" w14:paraId="2D3C4C82" w14:textId="77777777" w:rsidTr="00EF5854">
        <w:trPr>
          <w:trHeight w:val="273"/>
        </w:trPr>
        <w:tc>
          <w:tcPr>
            <w:tcW w:w="2338" w:type="dxa"/>
            <w:shd w:val="clear" w:color="auto" w:fill="auto"/>
          </w:tcPr>
          <w:p w14:paraId="22E262F2" w14:textId="77777777" w:rsidR="00EF5854" w:rsidRDefault="00EF5854" w:rsidP="00811728">
            <w:pPr>
              <w:pStyle w:val="NormalWeb"/>
            </w:pPr>
          </w:p>
        </w:tc>
        <w:tc>
          <w:tcPr>
            <w:tcW w:w="2176" w:type="dxa"/>
            <w:shd w:val="clear" w:color="auto" w:fill="auto"/>
          </w:tcPr>
          <w:p w14:paraId="61FA9AFB" w14:textId="77777777" w:rsidR="00EF5854" w:rsidRDefault="00EF5854" w:rsidP="00811728">
            <w:pPr>
              <w:pStyle w:val="NormalWeb"/>
            </w:pPr>
          </w:p>
        </w:tc>
        <w:tc>
          <w:tcPr>
            <w:tcW w:w="2387" w:type="dxa"/>
            <w:shd w:val="clear" w:color="auto" w:fill="auto"/>
          </w:tcPr>
          <w:p w14:paraId="66186A72" w14:textId="77777777" w:rsidR="00EF5854" w:rsidRDefault="00EF5854" w:rsidP="00811728">
            <w:pPr>
              <w:pStyle w:val="NormalWeb"/>
            </w:pPr>
          </w:p>
        </w:tc>
        <w:tc>
          <w:tcPr>
            <w:tcW w:w="2307" w:type="dxa"/>
            <w:shd w:val="clear" w:color="auto" w:fill="auto"/>
          </w:tcPr>
          <w:p w14:paraId="51B87A65" w14:textId="77777777" w:rsidR="00EF5854" w:rsidRDefault="00EF5854" w:rsidP="00811728">
            <w:pPr>
              <w:pStyle w:val="NormalWeb"/>
            </w:pPr>
          </w:p>
        </w:tc>
      </w:tr>
      <w:tr w:rsidR="00EF5854" w:rsidRPr="00CB607F" w14:paraId="618010EE" w14:textId="77777777" w:rsidTr="00EF5854">
        <w:trPr>
          <w:trHeight w:val="273"/>
        </w:trPr>
        <w:tc>
          <w:tcPr>
            <w:tcW w:w="2338" w:type="dxa"/>
            <w:shd w:val="clear" w:color="auto" w:fill="auto"/>
          </w:tcPr>
          <w:p w14:paraId="3E4F9007" w14:textId="77777777" w:rsidR="00EF5854" w:rsidRDefault="00EF5854" w:rsidP="00811728">
            <w:pPr>
              <w:pStyle w:val="NormalWeb"/>
            </w:pPr>
            <w:r>
              <w:t>Min. Front Setback</w:t>
            </w:r>
          </w:p>
        </w:tc>
        <w:tc>
          <w:tcPr>
            <w:tcW w:w="2176" w:type="dxa"/>
            <w:shd w:val="clear" w:color="auto" w:fill="auto"/>
          </w:tcPr>
          <w:p w14:paraId="0D5526A7" w14:textId="50926272" w:rsidR="00EF5854" w:rsidRPr="0087379B" w:rsidRDefault="00EF5854" w:rsidP="00811728">
            <w:pPr>
              <w:pStyle w:val="NormalWeb"/>
            </w:pPr>
            <w:r>
              <w:t>0 ft</w:t>
            </w:r>
            <w:r w:rsidR="00410A3C">
              <w:t xml:space="preserve">. </w:t>
            </w:r>
          </w:p>
        </w:tc>
        <w:tc>
          <w:tcPr>
            <w:tcW w:w="2387" w:type="dxa"/>
            <w:shd w:val="clear" w:color="auto" w:fill="auto"/>
          </w:tcPr>
          <w:p w14:paraId="16B87A6F" w14:textId="77777777" w:rsidR="00EF5854" w:rsidRPr="0087379B" w:rsidRDefault="00EF5854" w:rsidP="00811728">
            <w:pPr>
              <w:pStyle w:val="NormalWeb"/>
            </w:pPr>
            <w:r>
              <w:t xml:space="preserve">42 </w:t>
            </w:r>
            <w:proofErr w:type="spellStart"/>
            <w:r>
              <w:t>ft</w:t>
            </w:r>
            <w:proofErr w:type="spellEnd"/>
          </w:p>
        </w:tc>
        <w:tc>
          <w:tcPr>
            <w:tcW w:w="2307" w:type="dxa"/>
            <w:shd w:val="clear" w:color="auto" w:fill="auto"/>
          </w:tcPr>
          <w:p w14:paraId="3E3DBCC8" w14:textId="77777777" w:rsidR="00EF5854" w:rsidRPr="0087379B" w:rsidRDefault="00EF5854" w:rsidP="00811728">
            <w:pPr>
              <w:pStyle w:val="NormalWeb"/>
            </w:pPr>
            <w:r>
              <w:t>Compliant</w:t>
            </w:r>
          </w:p>
        </w:tc>
      </w:tr>
      <w:tr w:rsidR="00EF5854" w:rsidRPr="00CB607F" w14:paraId="00622684" w14:textId="77777777" w:rsidTr="00EF5854">
        <w:trPr>
          <w:trHeight w:val="568"/>
        </w:trPr>
        <w:tc>
          <w:tcPr>
            <w:tcW w:w="2338" w:type="dxa"/>
            <w:shd w:val="clear" w:color="auto" w:fill="auto"/>
          </w:tcPr>
          <w:p w14:paraId="09167738" w14:textId="77777777" w:rsidR="00EF5854" w:rsidRDefault="00EF5854" w:rsidP="00811728">
            <w:pPr>
              <w:pStyle w:val="NormalWeb"/>
            </w:pPr>
            <w:r>
              <w:t>Side Setback</w:t>
            </w:r>
          </w:p>
        </w:tc>
        <w:tc>
          <w:tcPr>
            <w:tcW w:w="2176" w:type="dxa"/>
            <w:shd w:val="clear" w:color="auto" w:fill="auto"/>
          </w:tcPr>
          <w:p w14:paraId="3DE86361" w14:textId="10452696" w:rsidR="00EF5854" w:rsidRPr="0087379B" w:rsidRDefault="00410A3C" w:rsidP="00811728">
            <w:pPr>
              <w:pStyle w:val="NormalWeb"/>
            </w:pPr>
            <w:r>
              <w:t xml:space="preserve">0 ft. </w:t>
            </w:r>
          </w:p>
        </w:tc>
        <w:tc>
          <w:tcPr>
            <w:tcW w:w="2387" w:type="dxa"/>
            <w:shd w:val="clear" w:color="auto" w:fill="auto"/>
          </w:tcPr>
          <w:p w14:paraId="17395762" w14:textId="77777777" w:rsidR="00EF5854" w:rsidRPr="0087379B" w:rsidRDefault="00EF5854" w:rsidP="00811728">
            <w:pPr>
              <w:pStyle w:val="NormalWeb"/>
            </w:pPr>
            <w:r>
              <w:t xml:space="preserve">7 </w:t>
            </w:r>
            <w:proofErr w:type="spellStart"/>
            <w:r>
              <w:t>ft</w:t>
            </w:r>
            <w:proofErr w:type="spellEnd"/>
            <w:r>
              <w:t xml:space="preserve"> 7 in. / 33 </w:t>
            </w:r>
            <w:proofErr w:type="spellStart"/>
            <w:r>
              <w:t>ft</w:t>
            </w:r>
            <w:proofErr w:type="spellEnd"/>
          </w:p>
        </w:tc>
        <w:tc>
          <w:tcPr>
            <w:tcW w:w="2307" w:type="dxa"/>
            <w:shd w:val="clear" w:color="auto" w:fill="auto"/>
          </w:tcPr>
          <w:p w14:paraId="0DDA0799" w14:textId="77777777" w:rsidR="00EF5854" w:rsidRPr="0087379B" w:rsidRDefault="00EF5854" w:rsidP="00811728">
            <w:pPr>
              <w:pStyle w:val="NormalWeb"/>
            </w:pPr>
            <w:r>
              <w:t>Compliant</w:t>
            </w:r>
          </w:p>
        </w:tc>
      </w:tr>
      <w:tr w:rsidR="00EF5854" w:rsidRPr="00CB607F" w14:paraId="590BD6D2" w14:textId="77777777" w:rsidTr="00EF5854">
        <w:trPr>
          <w:trHeight w:val="273"/>
        </w:trPr>
        <w:tc>
          <w:tcPr>
            <w:tcW w:w="2338" w:type="dxa"/>
            <w:shd w:val="clear" w:color="auto" w:fill="auto"/>
          </w:tcPr>
          <w:p w14:paraId="506C56B1" w14:textId="77777777" w:rsidR="00EF5854" w:rsidRDefault="00EF5854" w:rsidP="00811728">
            <w:pPr>
              <w:pStyle w:val="NormalWeb"/>
            </w:pPr>
            <w:r>
              <w:t>Rear Setback</w:t>
            </w:r>
          </w:p>
        </w:tc>
        <w:tc>
          <w:tcPr>
            <w:tcW w:w="2176" w:type="dxa"/>
            <w:shd w:val="clear" w:color="auto" w:fill="auto"/>
          </w:tcPr>
          <w:p w14:paraId="67469BBE" w14:textId="65D1AD31" w:rsidR="00EF5854" w:rsidRPr="0087379B" w:rsidRDefault="00EF5854" w:rsidP="00811728">
            <w:pPr>
              <w:pStyle w:val="NormalWeb"/>
            </w:pPr>
            <w:r>
              <w:t>0 ft</w:t>
            </w:r>
            <w:r w:rsidR="00410A3C">
              <w:t xml:space="preserve">. </w:t>
            </w:r>
          </w:p>
        </w:tc>
        <w:tc>
          <w:tcPr>
            <w:tcW w:w="2387" w:type="dxa"/>
            <w:shd w:val="clear" w:color="auto" w:fill="auto"/>
          </w:tcPr>
          <w:p w14:paraId="1AD1AF47" w14:textId="77777777" w:rsidR="00EF5854" w:rsidRPr="0087379B" w:rsidRDefault="00EF5854" w:rsidP="00811728">
            <w:pPr>
              <w:pStyle w:val="NormalWeb"/>
            </w:pPr>
            <w:r>
              <w:t xml:space="preserve">10 </w:t>
            </w:r>
            <w:proofErr w:type="spellStart"/>
            <w:r>
              <w:t>ft</w:t>
            </w:r>
            <w:proofErr w:type="spellEnd"/>
          </w:p>
        </w:tc>
        <w:tc>
          <w:tcPr>
            <w:tcW w:w="2307" w:type="dxa"/>
            <w:shd w:val="clear" w:color="auto" w:fill="auto"/>
          </w:tcPr>
          <w:p w14:paraId="793DF5CE" w14:textId="77777777" w:rsidR="00EF5854" w:rsidRPr="0087379B" w:rsidRDefault="00EF5854" w:rsidP="00811728">
            <w:pPr>
              <w:pStyle w:val="NormalWeb"/>
            </w:pPr>
            <w:r>
              <w:t>Compliant</w:t>
            </w:r>
          </w:p>
        </w:tc>
      </w:tr>
    </w:tbl>
    <w:p w14:paraId="3D4066D3" w14:textId="0CEA0D52" w:rsidR="00007CBD" w:rsidRPr="00EF5854" w:rsidRDefault="00007CBD" w:rsidP="00EF5854">
      <w:pPr>
        <w:spacing w:before="120" w:after="120"/>
        <w:rPr>
          <w:i/>
        </w:rPr>
      </w:pPr>
      <w:r w:rsidRPr="00EF5854">
        <w:rPr>
          <w:i/>
        </w:rPr>
        <w:t xml:space="preserve"> </w:t>
      </w:r>
    </w:p>
    <w:p w14:paraId="41E72EA7" w14:textId="77777777" w:rsidR="00007CBD" w:rsidRPr="00007CBD" w:rsidRDefault="00007CBD" w:rsidP="00007CBD">
      <w:pPr>
        <w:pStyle w:val="ListParagraph"/>
        <w:numPr>
          <w:ilvl w:val="0"/>
          <w:numId w:val="12"/>
        </w:numPr>
        <w:spacing w:before="120" w:after="120"/>
        <w:rPr>
          <w:i/>
        </w:rPr>
      </w:pPr>
      <w:r w:rsidRPr="00007CBD">
        <w:t>Build-to line: At least one primary building entrance shall be built no farther from the street right-of-way than the build-to line… The build-to line may also be increased through Site Design Review when pedestrian amenities are provided between a primary building entrance and the street right of way (See Section 5-2.3.090). = 0’-0”</w:t>
      </w:r>
    </w:p>
    <w:p w14:paraId="163A4292" w14:textId="76B955A7" w:rsidR="000E1C35" w:rsidRPr="00410A3C" w:rsidRDefault="00410A3C" w:rsidP="00410A3C">
      <w:pPr>
        <w:spacing w:before="120" w:after="120"/>
        <w:rPr>
          <w:i/>
        </w:rPr>
      </w:pPr>
      <w:r w:rsidRPr="00410A3C">
        <w:rPr>
          <w:b/>
        </w:rPr>
        <w:t>Findings:</w:t>
      </w:r>
      <w:r>
        <w:rPr>
          <w:b/>
          <w:i/>
        </w:rPr>
        <w:t xml:space="preserve"> </w:t>
      </w:r>
      <w:r w:rsidR="00007CBD" w:rsidRPr="00410A3C">
        <w:rPr>
          <w:i/>
        </w:rPr>
        <w:t>The current building is set back 8’-5” from the property line, with the primary entrance facing Bridge Street. As a part of the project scope, street improvements will be added to allow for this build-to line increase; the street improvements will include updating the sidewalk as well as street trees.</w:t>
      </w:r>
    </w:p>
    <w:p w14:paraId="47E7BBCB" w14:textId="25C1C89F" w:rsidR="00B22AA4" w:rsidRPr="00955368" w:rsidRDefault="00B22AA4" w:rsidP="00D77B7C">
      <w:pPr>
        <w:spacing w:before="120" w:after="120"/>
        <w:ind w:left="720"/>
        <w:rPr>
          <w:i/>
        </w:rPr>
      </w:pPr>
      <w:r w:rsidRPr="00955368">
        <w:rPr>
          <w:i/>
        </w:rPr>
        <w:t>2. The proposed plat name is not already recorded for another subdivision, and satisfies the provisions of ORS Chapter 92;</w:t>
      </w:r>
    </w:p>
    <w:p w14:paraId="201C2E4B" w14:textId="77777777" w:rsidR="00B22AA4" w:rsidRPr="0084777A" w:rsidRDefault="00B22AA4" w:rsidP="00BE368A">
      <w:pPr>
        <w:spacing w:before="120" w:after="120"/>
      </w:pPr>
      <w:r w:rsidRPr="00203442">
        <w:rPr>
          <w:b/>
        </w:rPr>
        <w:t>Findings:</w:t>
      </w:r>
      <w:r>
        <w:t xml:space="preserve"> No conflicts exist with ORS 92.</w:t>
      </w:r>
    </w:p>
    <w:p w14:paraId="7428BB06" w14:textId="77777777" w:rsidR="00B22AA4" w:rsidRPr="00955368" w:rsidRDefault="00B22AA4" w:rsidP="00D77B7C">
      <w:pPr>
        <w:spacing w:before="120" w:after="120"/>
        <w:ind w:left="720"/>
        <w:rPr>
          <w:i/>
        </w:rPr>
      </w:pPr>
      <w:r w:rsidRPr="00955368">
        <w:rPr>
          <w:i/>
        </w:rPr>
        <w:t xml:space="preserve">3. The proposed streets, roads, sidewalks, bicycle lanes, pathways, utilities, and surface water management facilities are laid out so as to conform or transition to the plats of subdivisions and maps of major partitions already approved for adjoining property as to </w:t>
      </w:r>
      <w:r w:rsidRPr="00955368">
        <w:rPr>
          <w:i/>
        </w:rPr>
        <w:lastRenderedPageBreak/>
        <w:t>width, general direction and in all other respects. All proposed public improvements and dedications are identified on the preliminary plat;</w:t>
      </w:r>
    </w:p>
    <w:p w14:paraId="599BD5D5" w14:textId="7065053A" w:rsidR="00B22AA4" w:rsidRPr="0084777A" w:rsidRDefault="00B22AA4" w:rsidP="00BE368A">
      <w:pPr>
        <w:spacing w:before="120" w:after="120"/>
      </w:pPr>
      <w:r w:rsidRPr="00203442">
        <w:rPr>
          <w:b/>
        </w:rPr>
        <w:t>Findings:</w:t>
      </w:r>
      <w:r>
        <w:t xml:space="preserve"> </w:t>
      </w:r>
      <w:r w:rsidR="002A2917">
        <w:t>Site is fully develop</w:t>
      </w:r>
      <w:r w:rsidR="00870D5C">
        <w:t xml:space="preserve">ed. Utility connections will be approved by </w:t>
      </w:r>
      <w:r w:rsidR="00270B34">
        <w:t xml:space="preserve">COJD public works director. </w:t>
      </w:r>
    </w:p>
    <w:p w14:paraId="4A672192" w14:textId="77777777" w:rsidR="00B22AA4" w:rsidRPr="00955368" w:rsidRDefault="00B22AA4" w:rsidP="00D77B7C">
      <w:pPr>
        <w:spacing w:before="120" w:after="120"/>
        <w:ind w:left="720"/>
        <w:rPr>
          <w:i/>
        </w:rPr>
      </w:pPr>
      <w:r w:rsidRPr="00955368">
        <w:rPr>
          <w:i/>
        </w:rPr>
        <w:t>4. All proposed private common areas and improvements (e.g., homeowner association property) are identified on the preliminary plat; and</w:t>
      </w:r>
    </w:p>
    <w:p w14:paraId="717FCC08" w14:textId="77777777" w:rsidR="00B22AA4" w:rsidRPr="0084777A" w:rsidRDefault="00B22AA4" w:rsidP="00BE368A">
      <w:pPr>
        <w:spacing w:before="120" w:after="120"/>
      </w:pPr>
      <w:r w:rsidRPr="00203442">
        <w:rPr>
          <w:b/>
        </w:rPr>
        <w:t>Findings:</w:t>
      </w:r>
      <w:r>
        <w:t xml:space="preserve"> Not applicable.</w:t>
      </w:r>
    </w:p>
    <w:p w14:paraId="4EC3419F" w14:textId="77777777" w:rsidR="00B22AA4" w:rsidRPr="00955368" w:rsidRDefault="00B22AA4" w:rsidP="00D77B7C">
      <w:pPr>
        <w:spacing w:before="120" w:after="120"/>
        <w:ind w:left="720"/>
        <w:rPr>
          <w:i/>
        </w:rPr>
      </w:pPr>
      <w:r w:rsidRPr="00955368">
        <w:rPr>
          <w:i/>
        </w:rPr>
        <w:t>5. Evidence that any required State and federal permits have been obtained, or shall be obtained before approval of the final plat;</w:t>
      </w:r>
    </w:p>
    <w:p w14:paraId="33B94E33" w14:textId="0818BC8C" w:rsidR="00B22AA4" w:rsidRPr="0084777A" w:rsidRDefault="00B22AA4" w:rsidP="00BE368A">
      <w:pPr>
        <w:spacing w:before="120" w:after="120"/>
      </w:pPr>
      <w:r w:rsidRPr="00203442">
        <w:rPr>
          <w:b/>
        </w:rPr>
        <w:t>Findings:</w:t>
      </w:r>
      <w:r>
        <w:t xml:space="preserve"> </w:t>
      </w:r>
      <w:r w:rsidR="00D77B7C">
        <w:t xml:space="preserve">Not Applicable </w:t>
      </w:r>
      <w:r w:rsidR="002A2917">
        <w:t xml:space="preserve"> </w:t>
      </w:r>
    </w:p>
    <w:p w14:paraId="66F9C168" w14:textId="77777777" w:rsidR="00B22AA4" w:rsidRPr="00955368" w:rsidRDefault="00BE368A" w:rsidP="00D77B7C">
      <w:pPr>
        <w:spacing w:before="120" w:after="120"/>
        <w:ind w:left="720"/>
        <w:rPr>
          <w:i/>
        </w:rPr>
      </w:pPr>
      <w:r w:rsidRPr="00955368">
        <w:rPr>
          <w:i/>
        </w:rPr>
        <w:t>6</w:t>
      </w:r>
      <w:r w:rsidR="00B22AA4" w:rsidRPr="00955368">
        <w:rPr>
          <w:i/>
        </w:rPr>
        <w:t>. Evidence that improvements or conditions required by the City, road authority, Grant County, special districts, utilities, and/or other service providers, as applicable to the project, have been or can be met; and</w:t>
      </w:r>
    </w:p>
    <w:p w14:paraId="167DAC8B" w14:textId="3E73C775" w:rsidR="00B22AA4" w:rsidRPr="0084777A" w:rsidRDefault="00B22AA4" w:rsidP="00BE368A">
      <w:pPr>
        <w:spacing w:before="120" w:after="120"/>
      </w:pPr>
      <w:r w:rsidRPr="00203442">
        <w:rPr>
          <w:b/>
        </w:rPr>
        <w:t>Findings:</w:t>
      </w:r>
      <w:r>
        <w:t xml:space="preserve"> </w:t>
      </w:r>
      <w:r w:rsidR="00410A3C">
        <w:t xml:space="preserve">No additional conditions are required unless requested by the planning commission. </w:t>
      </w:r>
    </w:p>
    <w:p w14:paraId="6E510A57" w14:textId="77777777" w:rsidR="00B22AA4" w:rsidRPr="00BE368A" w:rsidRDefault="00BE368A" w:rsidP="00D77B7C">
      <w:pPr>
        <w:spacing w:before="120" w:after="120"/>
        <w:ind w:left="720"/>
        <w:rPr>
          <w:b/>
          <w:i/>
        </w:rPr>
      </w:pPr>
      <w:r w:rsidRPr="00955368">
        <w:rPr>
          <w:i/>
        </w:rPr>
        <w:t>7</w:t>
      </w:r>
      <w:r w:rsidR="00B22AA4" w:rsidRPr="00955368">
        <w:rPr>
          <w:i/>
        </w:rPr>
        <w:t>. If any part of the site is located within an Overlay Zone, or previously approved Master Planned Development, it shall conform to the applicable regulations and/or conditions</w:t>
      </w:r>
      <w:r w:rsidR="00B22AA4" w:rsidRPr="00BE368A">
        <w:rPr>
          <w:b/>
          <w:i/>
        </w:rPr>
        <w:t>.</w:t>
      </w:r>
    </w:p>
    <w:p w14:paraId="36068E23" w14:textId="77777777" w:rsidR="00B22AA4" w:rsidRPr="0084777A" w:rsidRDefault="00B22AA4" w:rsidP="00BE368A">
      <w:pPr>
        <w:spacing w:before="120" w:after="120"/>
      </w:pPr>
      <w:r w:rsidRPr="00203442">
        <w:rPr>
          <w:b/>
        </w:rPr>
        <w:t>Findings:</w:t>
      </w:r>
      <w:r>
        <w:t xml:space="preserve"> </w:t>
      </w:r>
      <w:r w:rsidR="00BE368A">
        <w:t xml:space="preserve">The site is not located within a current Overlay Zone or previously approved Master Planned Development. </w:t>
      </w:r>
    </w:p>
    <w:p w14:paraId="3487A929" w14:textId="77777777" w:rsidR="00B22AA4" w:rsidRPr="00955368" w:rsidRDefault="00B22AA4" w:rsidP="00D77B7C">
      <w:pPr>
        <w:spacing w:before="120" w:after="120"/>
        <w:rPr>
          <w:i/>
        </w:rPr>
      </w:pPr>
      <w:r w:rsidRPr="00955368">
        <w:rPr>
          <w:i/>
        </w:rPr>
        <w:t>B. Layout and Design of Streets, Blocks and Lots. All proposed blocks (i.e., one or more lots bound by public streets), lots and parcels conform to the specific requirements below:</w:t>
      </w:r>
    </w:p>
    <w:p w14:paraId="53715892" w14:textId="77777777" w:rsidR="00B22AA4" w:rsidRPr="0084777A" w:rsidRDefault="00B22AA4" w:rsidP="00BE368A">
      <w:pPr>
        <w:spacing w:before="120" w:after="120"/>
      </w:pPr>
      <w:r w:rsidRPr="00203442">
        <w:rPr>
          <w:b/>
        </w:rPr>
        <w:t>Findings:</w:t>
      </w:r>
      <w:r>
        <w:t xml:space="preserve"> </w:t>
      </w:r>
      <w:r w:rsidR="002A2917">
        <w:t xml:space="preserve">Not applicable. </w:t>
      </w:r>
    </w:p>
    <w:p w14:paraId="3E5FA83D" w14:textId="77777777" w:rsidR="00B22AA4" w:rsidRPr="00955368" w:rsidRDefault="00B22AA4" w:rsidP="00D77B7C">
      <w:pPr>
        <w:spacing w:before="120" w:after="120"/>
        <w:rPr>
          <w:i/>
        </w:rPr>
      </w:pPr>
      <w:r w:rsidRPr="00955368">
        <w:rPr>
          <w:i/>
        </w:rPr>
        <w:t>C. Conditions of Approval. The City may attach such conditions as are necessary to carry out provisions of this Code, and other applicable ordinances and regulations, and may require reserve strips be granted to the City for the purpose of controlling access to adjoining undeveloped properties. See Chapter 5-3.4 Public Facilities.</w:t>
      </w:r>
    </w:p>
    <w:p w14:paraId="76C605C5" w14:textId="3CBAB03F" w:rsidR="00B22AA4" w:rsidRPr="00B22AA4" w:rsidRDefault="00B22AA4" w:rsidP="00BE368A">
      <w:pPr>
        <w:spacing w:before="120" w:after="120"/>
      </w:pPr>
      <w:r w:rsidRPr="00203442">
        <w:rPr>
          <w:b/>
        </w:rPr>
        <w:t>Findings:</w:t>
      </w:r>
      <w:r>
        <w:t xml:space="preserve"> </w:t>
      </w:r>
      <w:r w:rsidR="00D77B7C">
        <w:t xml:space="preserve">None required unless requested by planning commission. </w:t>
      </w:r>
    </w:p>
    <w:p w14:paraId="25D86010" w14:textId="77777777" w:rsidR="00955368" w:rsidRDefault="00955368" w:rsidP="004460C7">
      <w:pPr>
        <w:rPr>
          <w:szCs w:val="24"/>
        </w:rPr>
      </w:pPr>
    </w:p>
    <w:p w14:paraId="78EA0546" w14:textId="77777777" w:rsidR="004460C7" w:rsidRPr="00955368" w:rsidRDefault="004460C7" w:rsidP="00955368">
      <w:pPr>
        <w:pStyle w:val="ListParagraph"/>
        <w:numPr>
          <w:ilvl w:val="0"/>
          <w:numId w:val="11"/>
        </w:numPr>
        <w:rPr>
          <w:b/>
        </w:rPr>
      </w:pPr>
      <w:r w:rsidRPr="00955368">
        <w:rPr>
          <w:b/>
        </w:rPr>
        <w:t>PLANNING COMMISSION MOTION</w:t>
      </w:r>
    </w:p>
    <w:p w14:paraId="44D948DD" w14:textId="77777777" w:rsidR="004460C7" w:rsidRDefault="004460C7" w:rsidP="004460C7">
      <w:pPr>
        <w:ind w:left="1080"/>
      </w:pPr>
    </w:p>
    <w:p w14:paraId="5ECD18A1" w14:textId="045471A1" w:rsidR="004460C7" w:rsidRDefault="004460C7" w:rsidP="004460C7">
      <w:r>
        <w:tab/>
        <w:t xml:space="preserve">After hearing the </w:t>
      </w:r>
      <w:r w:rsidR="008A4E44">
        <w:t>staff</w:t>
      </w:r>
      <w:r>
        <w:t xml:space="preserve"> presentation and any public testimony, including any </w:t>
      </w:r>
      <w:r>
        <w:tab/>
        <w:t>rebuttal, the commission will close the hearing and deliberate. The following motion</w:t>
      </w:r>
      <w:r w:rsidR="000E1C35">
        <w:t xml:space="preserve"> is</w:t>
      </w:r>
      <w:r>
        <w:tab/>
        <w:t>suggested:</w:t>
      </w:r>
    </w:p>
    <w:p w14:paraId="60EE79E0" w14:textId="27C88AC6" w:rsidR="008701C9" w:rsidRDefault="008701C9" w:rsidP="004460C7">
      <w:pPr>
        <w:rPr>
          <w:i/>
        </w:rPr>
      </w:pPr>
    </w:p>
    <w:p w14:paraId="37C66C21" w14:textId="3CB7CE41" w:rsidR="008701C9" w:rsidRPr="008701C9" w:rsidRDefault="007C0A1E" w:rsidP="008701C9">
      <w:pPr>
        <w:ind w:left="720"/>
        <w:rPr>
          <w:i/>
        </w:rPr>
      </w:pPr>
      <w:r>
        <w:rPr>
          <w:u w:val="single"/>
        </w:rPr>
        <w:t>“I move to</w:t>
      </w:r>
      <w:r w:rsidR="008701C9">
        <w:rPr>
          <w:u w:val="single"/>
        </w:rPr>
        <w:t xml:space="preserve"> approve </w:t>
      </w:r>
      <w:r w:rsidR="000E1C35">
        <w:rPr>
          <w:u w:val="single"/>
        </w:rPr>
        <w:t>SDR 19-05</w:t>
      </w:r>
      <w:r w:rsidR="008701C9">
        <w:rPr>
          <w:u w:val="single"/>
        </w:rPr>
        <w:t xml:space="preserve"> based on the findings contained in the staff report [with conditions, if any].”</w:t>
      </w:r>
    </w:p>
    <w:p w14:paraId="522EFB17" w14:textId="77777777" w:rsidR="004460C7" w:rsidRDefault="004460C7" w:rsidP="004460C7">
      <w:pPr>
        <w:rPr>
          <w:i/>
        </w:rPr>
      </w:pPr>
    </w:p>
    <w:p w14:paraId="6F6377AC" w14:textId="77777777" w:rsidR="008A4E44" w:rsidRDefault="008A4E44" w:rsidP="008A4E44">
      <w:pPr>
        <w:rPr>
          <w:i/>
        </w:rPr>
      </w:pPr>
      <w:r>
        <w:rPr>
          <w:i/>
        </w:rPr>
        <w:tab/>
        <w:t xml:space="preserve">The staff report may be amended during the course of the hearing. </w:t>
      </w:r>
    </w:p>
    <w:p w14:paraId="55F2E4EA" w14:textId="77777777" w:rsidR="008A4E44" w:rsidRDefault="008A4E44" w:rsidP="004460C7">
      <w:pPr>
        <w:rPr>
          <w:b/>
        </w:rPr>
      </w:pPr>
    </w:p>
    <w:p w14:paraId="6244C058" w14:textId="77777777" w:rsidR="004460C7" w:rsidRDefault="004460C7" w:rsidP="004460C7">
      <w:pPr>
        <w:rPr>
          <w:b/>
        </w:rPr>
      </w:pPr>
    </w:p>
    <w:p w14:paraId="44635C48" w14:textId="77777777" w:rsidR="00D77B7C" w:rsidRDefault="00D77B7C" w:rsidP="004460C7"/>
    <w:p w14:paraId="50322448" w14:textId="77777777" w:rsidR="00D77B7C" w:rsidRDefault="00D77B7C" w:rsidP="004460C7"/>
    <w:p w14:paraId="41D8BBB5" w14:textId="77777777" w:rsidR="00D77B7C" w:rsidRDefault="00D77B7C" w:rsidP="004460C7"/>
    <w:p w14:paraId="5530FDEA" w14:textId="77777777" w:rsidR="00D77B7C" w:rsidRDefault="00D77B7C" w:rsidP="004460C7"/>
    <w:p w14:paraId="0293D9EC" w14:textId="7A947544" w:rsidR="004460C7" w:rsidRDefault="003D63C2" w:rsidP="004460C7">
      <w:r>
        <w:t>Respectfully submitted this 9</w:t>
      </w:r>
      <w:r w:rsidRPr="003D63C2">
        <w:rPr>
          <w:vertAlign w:val="superscript"/>
        </w:rPr>
        <w:t>th</w:t>
      </w:r>
      <w:r w:rsidR="000E1C35">
        <w:t xml:space="preserve"> day of </w:t>
      </w:r>
      <w:r w:rsidR="00D77B7C">
        <w:t>January 2020</w:t>
      </w:r>
      <w:r w:rsidR="007C0A1E" w:rsidRPr="007C0A1E">
        <w:t>,</w:t>
      </w:r>
    </w:p>
    <w:p w14:paraId="7D1BE010" w14:textId="77777777" w:rsidR="004460C7" w:rsidRDefault="004460C7" w:rsidP="004460C7"/>
    <w:p w14:paraId="316FC1E6" w14:textId="77777777" w:rsidR="004460C7" w:rsidRDefault="004460C7" w:rsidP="004460C7"/>
    <w:p w14:paraId="276E5751" w14:textId="77777777" w:rsidR="004460C7" w:rsidRDefault="004460C7" w:rsidP="004460C7"/>
    <w:p w14:paraId="4F189232" w14:textId="77777777" w:rsidR="004460C7" w:rsidRDefault="004460C7" w:rsidP="004460C7">
      <w:r>
        <w:t>Nicholas Green</w:t>
      </w:r>
    </w:p>
    <w:p w14:paraId="7CAD64D9" w14:textId="77777777" w:rsidR="004460C7" w:rsidRDefault="004460C7" w:rsidP="004460C7">
      <w:r>
        <w:t>City Manager / City Planning Official</w:t>
      </w:r>
    </w:p>
    <w:p w14:paraId="2302CD1F" w14:textId="77777777" w:rsidR="004460C7" w:rsidRDefault="004460C7" w:rsidP="004460C7">
      <w:r>
        <w:t>City of John Day</w:t>
      </w:r>
    </w:p>
    <w:p w14:paraId="3D83F481" w14:textId="77777777" w:rsidR="004460C7" w:rsidRDefault="004460C7" w:rsidP="004460C7"/>
    <w:p w14:paraId="0A47D554" w14:textId="77777777" w:rsidR="004460C7" w:rsidRDefault="004460C7" w:rsidP="004460C7">
      <w:r>
        <w:t>Enclosures</w:t>
      </w:r>
    </w:p>
    <w:p w14:paraId="00CFB08A" w14:textId="77777777" w:rsidR="004460C7" w:rsidRDefault="004460C7" w:rsidP="004460C7">
      <w:pPr>
        <w:widowControl w:val="0"/>
        <w:ind w:left="810"/>
        <w:rPr>
          <w:b/>
          <w:szCs w:val="24"/>
        </w:rPr>
      </w:pPr>
    </w:p>
    <w:p w14:paraId="3AB45A60" w14:textId="77777777" w:rsidR="00E90998" w:rsidRDefault="00E90998" w:rsidP="004460C7">
      <w:pPr>
        <w:widowControl w:val="0"/>
        <w:ind w:left="810"/>
        <w:rPr>
          <w:b/>
          <w:szCs w:val="24"/>
        </w:rPr>
      </w:pPr>
    </w:p>
    <w:p w14:paraId="33FBF037" w14:textId="77777777" w:rsidR="00E90998" w:rsidRPr="00E157D1" w:rsidRDefault="00E90998" w:rsidP="00BC432C">
      <w:pPr>
        <w:rPr>
          <w:b/>
          <w:szCs w:val="24"/>
        </w:rPr>
      </w:pPr>
    </w:p>
    <w:sectPr w:rsidR="00E90998" w:rsidRPr="00E157D1" w:rsidSect="00356D77">
      <w:footerReference w:type="default" r:id="rId10"/>
      <w:pgSz w:w="12240" w:h="15840"/>
      <w:pgMar w:top="1350" w:right="1440" w:bottom="810" w:left="1440" w:header="720" w:footer="720" w:gutter="0"/>
      <w:paperSrc w:first="113" w:other="11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6E866" w14:textId="77777777" w:rsidR="009F47C3" w:rsidRDefault="009F47C3">
      <w:r>
        <w:separator/>
      </w:r>
    </w:p>
  </w:endnote>
  <w:endnote w:type="continuationSeparator" w:id="0">
    <w:p w14:paraId="4A9C9B9C" w14:textId="77777777" w:rsidR="009F47C3" w:rsidRDefault="009F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20B06030202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1417779"/>
      <w:docPartObj>
        <w:docPartGallery w:val="Page Numbers (Bottom of Page)"/>
        <w:docPartUnique/>
      </w:docPartObj>
    </w:sdtPr>
    <w:sdtEndPr>
      <w:rPr>
        <w:noProof/>
      </w:rPr>
    </w:sdtEndPr>
    <w:sdtContent>
      <w:p w14:paraId="44441BE6" w14:textId="04D651D8" w:rsidR="008E67B1" w:rsidRDefault="008E67B1">
        <w:pPr>
          <w:pStyle w:val="Footer"/>
          <w:jc w:val="right"/>
        </w:pPr>
        <w:r>
          <w:fldChar w:fldCharType="begin"/>
        </w:r>
        <w:r>
          <w:instrText xml:space="preserve"> PAGE   \* MERGEFORMAT </w:instrText>
        </w:r>
        <w:r>
          <w:fldChar w:fldCharType="separate"/>
        </w:r>
        <w:r w:rsidR="00410A3C">
          <w:rPr>
            <w:noProof/>
          </w:rPr>
          <w:t>6</w:t>
        </w:r>
        <w:r>
          <w:rPr>
            <w:noProof/>
          </w:rPr>
          <w:fldChar w:fldCharType="end"/>
        </w:r>
      </w:p>
    </w:sdtContent>
  </w:sdt>
  <w:p w14:paraId="03EF2305" w14:textId="77777777" w:rsidR="000331C9" w:rsidRDefault="000331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B314D" w14:textId="77777777" w:rsidR="009F47C3" w:rsidRDefault="009F47C3">
      <w:r>
        <w:separator/>
      </w:r>
    </w:p>
  </w:footnote>
  <w:footnote w:type="continuationSeparator" w:id="0">
    <w:p w14:paraId="71D2C652" w14:textId="77777777" w:rsidR="009F47C3" w:rsidRDefault="009F47C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57E2B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91895"/>
    <w:multiLevelType w:val="hybridMultilevel"/>
    <w:tmpl w:val="7F8E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61CC1"/>
    <w:multiLevelType w:val="hybridMultilevel"/>
    <w:tmpl w:val="895046BE"/>
    <w:lvl w:ilvl="0" w:tplc="34D8A056">
      <w:start w:val="1"/>
      <w:numFmt w:val="low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BF862AE"/>
    <w:multiLevelType w:val="hybridMultilevel"/>
    <w:tmpl w:val="E678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E291E"/>
    <w:multiLevelType w:val="hybridMultilevel"/>
    <w:tmpl w:val="13E0C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C5665B"/>
    <w:multiLevelType w:val="hybridMultilevel"/>
    <w:tmpl w:val="4B8C968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131B80"/>
    <w:multiLevelType w:val="hybridMultilevel"/>
    <w:tmpl w:val="5720FD54"/>
    <w:lvl w:ilvl="0" w:tplc="23E08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CA5DFD"/>
    <w:multiLevelType w:val="hybridMultilevel"/>
    <w:tmpl w:val="EADC8C1A"/>
    <w:lvl w:ilvl="0" w:tplc="235ABA1A">
      <w:start w:val="1"/>
      <w:numFmt w:val="upperRoman"/>
      <w:lvlText w:val="%1."/>
      <w:lvlJc w:val="right"/>
      <w:pPr>
        <w:ind w:left="1080" w:hanging="36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E54C34"/>
    <w:multiLevelType w:val="hybridMultilevel"/>
    <w:tmpl w:val="E900583E"/>
    <w:lvl w:ilvl="0" w:tplc="35A42E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0EA479D"/>
    <w:multiLevelType w:val="hybridMultilevel"/>
    <w:tmpl w:val="1AC8DACE"/>
    <w:lvl w:ilvl="0" w:tplc="CD6AF150">
      <w:start w:val="1"/>
      <w:numFmt w:val="upperLetter"/>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4EB2CEB"/>
    <w:multiLevelType w:val="hybridMultilevel"/>
    <w:tmpl w:val="BF7ED654"/>
    <w:lvl w:ilvl="0" w:tplc="E51273B8">
      <w:start w:val="1"/>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E8580C"/>
    <w:multiLevelType w:val="hybridMultilevel"/>
    <w:tmpl w:val="7D2A38C2"/>
    <w:lvl w:ilvl="0" w:tplc="91B8E1E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C9D7456"/>
    <w:multiLevelType w:val="hybridMultilevel"/>
    <w:tmpl w:val="69D6A9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FA6E81"/>
    <w:multiLevelType w:val="hybridMultilevel"/>
    <w:tmpl w:val="12F82B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4A4646"/>
    <w:multiLevelType w:val="hybridMultilevel"/>
    <w:tmpl w:val="69D6A9E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9260B16"/>
    <w:multiLevelType w:val="hybridMultilevel"/>
    <w:tmpl w:val="05AE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E77EF"/>
    <w:multiLevelType w:val="hybridMultilevel"/>
    <w:tmpl w:val="3AF41C8A"/>
    <w:lvl w:ilvl="0" w:tplc="EA904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3"/>
  </w:num>
  <w:num w:numId="3">
    <w:abstractNumId w:val="6"/>
  </w:num>
  <w:num w:numId="4">
    <w:abstractNumId w:val="15"/>
  </w:num>
  <w:num w:numId="5">
    <w:abstractNumId w:val="4"/>
  </w:num>
  <w:num w:numId="6">
    <w:abstractNumId w:val="5"/>
  </w:num>
  <w:num w:numId="7">
    <w:abstractNumId w:val="16"/>
  </w:num>
  <w:num w:numId="8">
    <w:abstractNumId w:val="8"/>
  </w:num>
  <w:num w:numId="9">
    <w:abstractNumId w:val="3"/>
  </w:num>
  <w:num w:numId="10">
    <w:abstractNumId w:val="1"/>
  </w:num>
  <w:num w:numId="11">
    <w:abstractNumId w:val="11"/>
  </w:num>
  <w:num w:numId="12">
    <w:abstractNumId w:val="7"/>
  </w:num>
  <w:num w:numId="13">
    <w:abstractNumId w:val="12"/>
  </w:num>
  <w:num w:numId="14">
    <w:abstractNumId w:val="14"/>
  </w:num>
  <w:num w:numId="15">
    <w:abstractNumId w:val="10"/>
  </w:num>
  <w:num w:numId="16">
    <w:abstractNumId w:val="9"/>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2D"/>
    <w:rsid w:val="00007CBD"/>
    <w:rsid w:val="00015852"/>
    <w:rsid w:val="000260D7"/>
    <w:rsid w:val="000331C9"/>
    <w:rsid w:val="000403CF"/>
    <w:rsid w:val="000A7799"/>
    <w:rsid w:val="000B4681"/>
    <w:rsid w:val="000E1C35"/>
    <w:rsid w:val="00113E86"/>
    <w:rsid w:val="00114696"/>
    <w:rsid w:val="001310B6"/>
    <w:rsid w:val="00135031"/>
    <w:rsid w:val="001803EF"/>
    <w:rsid w:val="00183079"/>
    <w:rsid w:val="00184529"/>
    <w:rsid w:val="001B4A60"/>
    <w:rsid w:val="001D67C7"/>
    <w:rsid w:val="00225AB2"/>
    <w:rsid w:val="002605BC"/>
    <w:rsid w:val="002649FC"/>
    <w:rsid w:val="00270B34"/>
    <w:rsid w:val="00274C58"/>
    <w:rsid w:val="00286B55"/>
    <w:rsid w:val="002929AF"/>
    <w:rsid w:val="0029640A"/>
    <w:rsid w:val="002A2917"/>
    <w:rsid w:val="002E1918"/>
    <w:rsid w:val="002E62A6"/>
    <w:rsid w:val="0033622B"/>
    <w:rsid w:val="00356D77"/>
    <w:rsid w:val="0038132A"/>
    <w:rsid w:val="003A4B1C"/>
    <w:rsid w:val="003D63C2"/>
    <w:rsid w:val="003D65B8"/>
    <w:rsid w:val="003F3432"/>
    <w:rsid w:val="00410A3C"/>
    <w:rsid w:val="00424756"/>
    <w:rsid w:val="00426EF0"/>
    <w:rsid w:val="004460C7"/>
    <w:rsid w:val="00454CA6"/>
    <w:rsid w:val="00461A51"/>
    <w:rsid w:val="00476C41"/>
    <w:rsid w:val="00480C61"/>
    <w:rsid w:val="00481085"/>
    <w:rsid w:val="004B4D1D"/>
    <w:rsid w:val="004F6321"/>
    <w:rsid w:val="00503285"/>
    <w:rsid w:val="00522A80"/>
    <w:rsid w:val="0053385F"/>
    <w:rsid w:val="0053656A"/>
    <w:rsid w:val="005426D5"/>
    <w:rsid w:val="00576AE3"/>
    <w:rsid w:val="0058374E"/>
    <w:rsid w:val="0059696F"/>
    <w:rsid w:val="005F1338"/>
    <w:rsid w:val="005F1647"/>
    <w:rsid w:val="00601568"/>
    <w:rsid w:val="00652B04"/>
    <w:rsid w:val="00653038"/>
    <w:rsid w:val="0068202E"/>
    <w:rsid w:val="006A331A"/>
    <w:rsid w:val="006A5E7E"/>
    <w:rsid w:val="006B6633"/>
    <w:rsid w:val="006B67F5"/>
    <w:rsid w:val="006F315E"/>
    <w:rsid w:val="007023CC"/>
    <w:rsid w:val="007177A3"/>
    <w:rsid w:val="007671FE"/>
    <w:rsid w:val="007B7394"/>
    <w:rsid w:val="007C0A1E"/>
    <w:rsid w:val="007F4BF7"/>
    <w:rsid w:val="008178DB"/>
    <w:rsid w:val="008443CC"/>
    <w:rsid w:val="00854440"/>
    <w:rsid w:val="00862490"/>
    <w:rsid w:val="008701C9"/>
    <w:rsid w:val="00870D5C"/>
    <w:rsid w:val="008933D9"/>
    <w:rsid w:val="00897C99"/>
    <w:rsid w:val="008A1322"/>
    <w:rsid w:val="008A4E44"/>
    <w:rsid w:val="008D72B9"/>
    <w:rsid w:val="008E67B1"/>
    <w:rsid w:val="00924E42"/>
    <w:rsid w:val="00931893"/>
    <w:rsid w:val="00955368"/>
    <w:rsid w:val="00981D14"/>
    <w:rsid w:val="009907E4"/>
    <w:rsid w:val="009A12EC"/>
    <w:rsid w:val="009B3E9C"/>
    <w:rsid w:val="009F2498"/>
    <w:rsid w:val="009F47C3"/>
    <w:rsid w:val="00A0004D"/>
    <w:rsid w:val="00A467DF"/>
    <w:rsid w:val="00AA2722"/>
    <w:rsid w:val="00AC2D09"/>
    <w:rsid w:val="00AD7112"/>
    <w:rsid w:val="00B0280D"/>
    <w:rsid w:val="00B1322D"/>
    <w:rsid w:val="00B22AA4"/>
    <w:rsid w:val="00B40F29"/>
    <w:rsid w:val="00BA18C0"/>
    <w:rsid w:val="00BC0677"/>
    <w:rsid w:val="00BC432C"/>
    <w:rsid w:val="00BD24FA"/>
    <w:rsid w:val="00BE368A"/>
    <w:rsid w:val="00C00EBB"/>
    <w:rsid w:val="00C57FD6"/>
    <w:rsid w:val="00C97ABA"/>
    <w:rsid w:val="00CB483F"/>
    <w:rsid w:val="00CC18FB"/>
    <w:rsid w:val="00CD52AC"/>
    <w:rsid w:val="00CF1F84"/>
    <w:rsid w:val="00D14E6C"/>
    <w:rsid w:val="00D1694D"/>
    <w:rsid w:val="00D57FC2"/>
    <w:rsid w:val="00D77B7C"/>
    <w:rsid w:val="00DE355E"/>
    <w:rsid w:val="00DE69B7"/>
    <w:rsid w:val="00E157D1"/>
    <w:rsid w:val="00E31E1F"/>
    <w:rsid w:val="00E6280D"/>
    <w:rsid w:val="00E90998"/>
    <w:rsid w:val="00EC593D"/>
    <w:rsid w:val="00EF5854"/>
    <w:rsid w:val="00F12344"/>
    <w:rsid w:val="00F253C8"/>
    <w:rsid w:val="00F512BA"/>
    <w:rsid w:val="00F84A77"/>
    <w:rsid w:val="00FC0E7F"/>
    <w:rsid w:val="00FF3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B3D612"/>
  <w14:defaultImageDpi w14:val="300"/>
  <w15:docId w15:val="{9711409B-8EDA-4679-AAFF-B1E98246F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pageBreakBefore/>
      <w:spacing w:after="240"/>
      <w:jc w:val="center"/>
      <w:outlineLvl w:val="0"/>
    </w:pPr>
    <w:rPr>
      <w:b/>
    </w:rPr>
  </w:style>
  <w:style w:type="paragraph" w:styleId="Heading2">
    <w:name w:val="heading 2"/>
    <w:basedOn w:val="Normal"/>
    <w:next w:val="Normal"/>
    <w:qFormat/>
    <w:pPr>
      <w:keepNext/>
      <w:spacing w:after="240"/>
      <w:ind w:firstLine="1440"/>
      <w:outlineLvl w:val="1"/>
    </w:pPr>
    <w:rPr>
      <w:b/>
    </w:rPr>
  </w:style>
  <w:style w:type="paragraph" w:styleId="Heading3">
    <w:name w:val="heading 3"/>
    <w:basedOn w:val="Normal"/>
    <w:next w:val="Normal"/>
    <w:qFormat/>
    <w:pPr>
      <w:spacing w:after="240"/>
      <w:ind w:left="720" w:firstLine="1440"/>
      <w:outlineLvl w:val="2"/>
    </w:pPr>
  </w:style>
  <w:style w:type="paragraph" w:styleId="Heading4">
    <w:name w:val="heading 4"/>
    <w:basedOn w:val="Normal"/>
    <w:qFormat/>
    <w:pPr>
      <w:spacing w:after="240"/>
      <w:ind w:left="1440" w:firstLine="1440"/>
      <w:outlineLvl w:val="3"/>
    </w:pPr>
  </w:style>
  <w:style w:type="paragraph" w:styleId="Heading5">
    <w:name w:val="heading 5"/>
    <w:basedOn w:val="Heading4"/>
    <w:qFormat/>
    <w:pPr>
      <w:ind w:left="2160"/>
      <w:outlineLvl w:val="4"/>
    </w:pPr>
  </w:style>
  <w:style w:type="paragraph" w:styleId="Heading6">
    <w:name w:val="heading 6"/>
    <w:basedOn w:val="Heading5"/>
    <w:qFormat/>
    <w:pPr>
      <w:ind w:left="28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customStyle="1" w:styleId="paragraph1">
    <w:name w:val="paragraph 1"/>
    <w:basedOn w:val="Normal"/>
    <w:pPr>
      <w:ind w:left="720"/>
    </w:pPr>
  </w:style>
  <w:style w:type="paragraph" w:customStyle="1" w:styleId="paragraph2">
    <w:name w:val="paragraph 2"/>
    <w:basedOn w:val="Normal"/>
  </w:style>
  <w:style w:type="paragraph" w:customStyle="1" w:styleId="paragraph3">
    <w:name w:val="paragraph 3"/>
    <w:basedOn w:val="Normal"/>
  </w:style>
  <w:style w:type="paragraph" w:customStyle="1" w:styleId="paragraph4">
    <w:name w:val="paragraph 4"/>
    <w:basedOn w:val="Normal"/>
  </w:style>
  <w:style w:type="paragraph" w:customStyle="1" w:styleId="StandardParagraph">
    <w:name w:val="Standard Paragraph"/>
    <w:basedOn w:val="Normal"/>
    <w:next w:val="Normal"/>
    <w:pPr>
      <w:spacing w:after="240"/>
      <w:ind w:firstLine="1440"/>
    </w:pPr>
  </w:style>
  <w:style w:type="paragraph" w:customStyle="1" w:styleId="DocumentHeading">
    <w:name w:val="Document Heading"/>
    <w:basedOn w:val="Normal"/>
    <w:pPr>
      <w:shd w:val="solid" w:color="auto" w:fill="auto"/>
      <w:jc w:val="center"/>
    </w:pPr>
    <w:rPr>
      <w:rFonts w:ascii="Antique Olive" w:hAnsi="Antique Olive"/>
      <w:b/>
      <w:smallCaps/>
      <w:spacing w:val="60"/>
      <w:sz w:val="28"/>
    </w:rPr>
  </w:style>
  <w:style w:type="paragraph" w:customStyle="1" w:styleId="SignatureBlock">
    <w:name w:val="Signature Block"/>
    <w:basedOn w:val="Normal"/>
    <w:next w:val="Normal"/>
    <w:pPr>
      <w:keepNext/>
      <w:ind w:left="4320"/>
    </w:pPr>
  </w:style>
  <w:style w:type="paragraph" w:customStyle="1" w:styleId="DocumentTitle">
    <w:name w:val="Document Title"/>
    <w:basedOn w:val="Normal"/>
    <w:pPr>
      <w:keepNext/>
      <w:pBdr>
        <w:top w:val="single" w:sz="6" w:space="1" w:color="auto" w:shadow="1"/>
        <w:left w:val="single" w:sz="6" w:space="1" w:color="auto" w:shadow="1"/>
        <w:bottom w:val="single" w:sz="6" w:space="1" w:color="auto" w:shadow="1"/>
        <w:right w:val="single" w:sz="6" w:space="1" w:color="auto" w:shadow="1"/>
      </w:pBdr>
      <w:spacing w:after="120"/>
      <w:jc w:val="center"/>
    </w:pPr>
    <w:rPr>
      <w:b/>
      <w:smallCaps/>
      <w:spacing w:val="60"/>
      <w:sz w:val="28"/>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character" w:styleId="Hyperlink">
    <w:name w:val="Hyperlink"/>
    <w:basedOn w:val="DefaultParagraphFont"/>
    <w:uiPriority w:val="99"/>
    <w:semiHidden/>
    <w:unhideWhenUsed/>
    <w:rsid w:val="007F4BF7"/>
    <w:rPr>
      <w:color w:val="0000FF"/>
      <w:u w:val="single"/>
    </w:rPr>
  </w:style>
  <w:style w:type="paragraph" w:styleId="BalloonText">
    <w:name w:val="Balloon Text"/>
    <w:basedOn w:val="Normal"/>
    <w:link w:val="BalloonTextChar"/>
    <w:uiPriority w:val="99"/>
    <w:semiHidden/>
    <w:unhideWhenUsed/>
    <w:rsid w:val="00424756"/>
    <w:rPr>
      <w:rFonts w:ascii="Tahoma" w:hAnsi="Tahoma" w:cs="Tahoma"/>
      <w:sz w:val="16"/>
      <w:szCs w:val="16"/>
    </w:rPr>
  </w:style>
  <w:style w:type="character" w:customStyle="1" w:styleId="BalloonTextChar">
    <w:name w:val="Balloon Text Char"/>
    <w:basedOn w:val="DefaultParagraphFont"/>
    <w:link w:val="BalloonText"/>
    <w:uiPriority w:val="99"/>
    <w:semiHidden/>
    <w:rsid w:val="00424756"/>
    <w:rPr>
      <w:rFonts w:ascii="Tahoma" w:hAnsi="Tahoma" w:cs="Tahoma"/>
      <w:sz w:val="16"/>
      <w:szCs w:val="16"/>
    </w:rPr>
  </w:style>
  <w:style w:type="character" w:customStyle="1" w:styleId="HeaderChar">
    <w:name w:val="Header Char"/>
    <w:basedOn w:val="DefaultParagraphFont"/>
    <w:link w:val="Header"/>
    <w:uiPriority w:val="99"/>
    <w:rsid w:val="0058374E"/>
    <w:rPr>
      <w:sz w:val="24"/>
    </w:rPr>
  </w:style>
  <w:style w:type="character" w:customStyle="1" w:styleId="FooterChar">
    <w:name w:val="Footer Char"/>
    <w:basedOn w:val="DefaultParagraphFont"/>
    <w:link w:val="Footer"/>
    <w:uiPriority w:val="99"/>
    <w:rsid w:val="0058374E"/>
    <w:rPr>
      <w:sz w:val="24"/>
    </w:rPr>
  </w:style>
  <w:style w:type="paragraph" w:styleId="ListParagraph">
    <w:name w:val="List Paragraph"/>
    <w:basedOn w:val="Normal"/>
    <w:uiPriority w:val="34"/>
    <w:qFormat/>
    <w:rsid w:val="00981D14"/>
    <w:pPr>
      <w:ind w:left="720"/>
      <w:contextualSpacing/>
    </w:pPr>
  </w:style>
  <w:style w:type="paragraph" w:styleId="BodyTextIndent">
    <w:name w:val="Body Text Indent"/>
    <w:basedOn w:val="Normal"/>
    <w:link w:val="BodyTextIndentChar"/>
    <w:semiHidden/>
    <w:rsid w:val="00E157D1"/>
    <w:pPr>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360" w:hanging="360"/>
      <w:jc w:val="both"/>
    </w:pPr>
    <w:rPr>
      <w:rFonts w:ascii="Arial" w:hAnsi="Arial" w:cs="Arial"/>
      <w:szCs w:val="24"/>
    </w:rPr>
  </w:style>
  <w:style w:type="character" w:customStyle="1" w:styleId="BodyTextIndentChar">
    <w:name w:val="Body Text Indent Char"/>
    <w:basedOn w:val="DefaultParagraphFont"/>
    <w:link w:val="BodyTextIndent"/>
    <w:semiHidden/>
    <w:rsid w:val="00E157D1"/>
    <w:rPr>
      <w:rFonts w:ascii="Arial" w:hAnsi="Arial" w:cs="Arial"/>
      <w:sz w:val="24"/>
      <w:szCs w:val="24"/>
    </w:rPr>
  </w:style>
  <w:style w:type="paragraph" w:styleId="NoSpacing">
    <w:name w:val="No Spacing"/>
    <w:uiPriority w:val="1"/>
    <w:qFormat/>
    <w:rsid w:val="00E157D1"/>
    <w:rPr>
      <w:rFonts w:ascii="Calibri" w:eastAsia="Calibri" w:hAnsi="Calibri"/>
      <w:sz w:val="22"/>
      <w:szCs w:val="22"/>
    </w:rPr>
  </w:style>
  <w:style w:type="table" w:styleId="TableGrid">
    <w:name w:val="Table Grid"/>
    <w:basedOn w:val="TableNormal"/>
    <w:uiPriority w:val="59"/>
    <w:rsid w:val="00DE69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7ABA"/>
    <w:pPr>
      <w:autoSpaceDE w:val="0"/>
      <w:autoSpaceDN w:val="0"/>
      <w:adjustRightInd w:val="0"/>
    </w:pPr>
    <w:rPr>
      <w:color w:val="000000"/>
      <w:sz w:val="24"/>
      <w:szCs w:val="24"/>
    </w:rPr>
  </w:style>
  <w:style w:type="paragraph" w:styleId="NormalWeb">
    <w:name w:val="Normal (Web)"/>
    <w:basedOn w:val="Normal"/>
    <w:uiPriority w:val="99"/>
    <w:unhideWhenUsed/>
    <w:rsid w:val="00EF5854"/>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079">
      <w:bodyDiv w:val="1"/>
      <w:marLeft w:val="0"/>
      <w:marRight w:val="0"/>
      <w:marTop w:val="0"/>
      <w:marBottom w:val="0"/>
      <w:divBdr>
        <w:top w:val="none" w:sz="0" w:space="0" w:color="auto"/>
        <w:left w:val="none" w:sz="0" w:space="0" w:color="auto"/>
        <w:bottom w:val="none" w:sz="0" w:space="0" w:color="auto"/>
        <w:right w:val="none" w:sz="0" w:space="0" w:color="auto"/>
      </w:divBdr>
    </w:div>
    <w:div w:id="504902478">
      <w:bodyDiv w:val="1"/>
      <w:marLeft w:val="0"/>
      <w:marRight w:val="0"/>
      <w:marTop w:val="0"/>
      <w:marBottom w:val="0"/>
      <w:divBdr>
        <w:top w:val="none" w:sz="0" w:space="0" w:color="auto"/>
        <w:left w:val="none" w:sz="0" w:space="0" w:color="auto"/>
        <w:bottom w:val="none" w:sz="0" w:space="0" w:color="auto"/>
        <w:right w:val="none" w:sz="0" w:space="0" w:color="auto"/>
      </w:divBdr>
    </w:div>
    <w:div w:id="781876416">
      <w:bodyDiv w:val="1"/>
      <w:marLeft w:val="0"/>
      <w:marRight w:val="0"/>
      <w:marTop w:val="0"/>
      <w:marBottom w:val="0"/>
      <w:divBdr>
        <w:top w:val="none" w:sz="0" w:space="0" w:color="auto"/>
        <w:left w:val="none" w:sz="0" w:space="0" w:color="auto"/>
        <w:bottom w:val="none" w:sz="0" w:space="0" w:color="auto"/>
        <w:right w:val="none" w:sz="0" w:space="0" w:color="auto"/>
      </w:divBdr>
    </w:div>
    <w:div w:id="1548834528">
      <w:bodyDiv w:val="1"/>
      <w:marLeft w:val="0"/>
      <w:marRight w:val="0"/>
      <w:marTop w:val="0"/>
      <w:marBottom w:val="0"/>
      <w:divBdr>
        <w:top w:val="none" w:sz="0" w:space="0" w:color="auto"/>
        <w:left w:val="none" w:sz="0" w:space="0" w:color="auto"/>
        <w:bottom w:val="none" w:sz="0" w:space="0" w:color="auto"/>
        <w:right w:val="none" w:sz="0" w:space="0" w:color="auto"/>
      </w:divBdr>
    </w:div>
    <w:div w:id="181699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yofjohnd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EB52-6F24-4F85-9121-BE9C01B0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3912</TotalTime>
  <Pages>6</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ORDINANCE No</vt:lpstr>
    </vt:vector>
  </TitlesOfParts>
  <Company>Preston Gates &amp; Ellis LLP</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Dan Kearns</dc:creator>
  <cp:lastModifiedBy>Daisy Goebel</cp:lastModifiedBy>
  <cp:revision>7</cp:revision>
  <cp:lastPrinted>2015-08-11T14:26:00Z</cp:lastPrinted>
  <dcterms:created xsi:type="dcterms:W3CDTF">2019-11-05T20:14:00Z</dcterms:created>
  <dcterms:modified xsi:type="dcterms:W3CDTF">2020-01-06T16:16:00Z</dcterms:modified>
</cp:coreProperties>
</file>