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3BE1" w14:textId="67A29C3D" w:rsidR="00222808" w:rsidRPr="008105B8" w:rsidRDefault="00222808" w:rsidP="00222808">
      <w:pPr>
        <w:jc w:val="center"/>
        <w:rPr>
          <w:b/>
          <w:bCs/>
          <w:sz w:val="32"/>
          <w:szCs w:val="32"/>
          <w:u w:val="single"/>
        </w:rPr>
      </w:pPr>
      <w:r w:rsidRPr="008105B8">
        <w:rPr>
          <w:b/>
          <w:bCs/>
          <w:sz w:val="32"/>
          <w:szCs w:val="32"/>
          <w:u w:val="single"/>
        </w:rPr>
        <w:t xml:space="preserve">Ducote EDA Fiber Project (Grant County Digital) Status Memorandum – </w:t>
      </w:r>
      <w:r w:rsidR="007F5BA0">
        <w:rPr>
          <w:b/>
          <w:bCs/>
          <w:sz w:val="32"/>
          <w:szCs w:val="32"/>
          <w:u w:val="single"/>
        </w:rPr>
        <w:t>11/2/2023</w:t>
      </w:r>
    </w:p>
    <w:p w14:paraId="7F0E7841" w14:textId="2FC41CF4" w:rsidR="00222808" w:rsidRPr="00B65348" w:rsidRDefault="000739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Background/Caveats</w:t>
      </w:r>
      <w:r w:rsidR="00222808" w:rsidRPr="00B65348">
        <w:rPr>
          <w:b/>
          <w:bCs/>
          <w:sz w:val="28"/>
          <w:szCs w:val="28"/>
        </w:rPr>
        <w:t>:</w:t>
      </w:r>
    </w:p>
    <w:p w14:paraId="473F4FAA" w14:textId="09BCE798" w:rsidR="00A76953" w:rsidRDefault="00222808" w:rsidP="007137B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5BA0">
        <w:rPr>
          <w:sz w:val="24"/>
          <w:szCs w:val="24"/>
        </w:rPr>
        <w:t xml:space="preserve">I’ve been looking over records for </w:t>
      </w:r>
      <w:r w:rsidR="007F5BA0" w:rsidRPr="007F5BA0">
        <w:rPr>
          <w:sz w:val="24"/>
          <w:szCs w:val="24"/>
        </w:rPr>
        <w:t>very little time, but I have spoken with</w:t>
      </w:r>
      <w:r w:rsidR="00A76953" w:rsidRPr="007F5BA0">
        <w:rPr>
          <w:sz w:val="24"/>
          <w:szCs w:val="24"/>
        </w:rPr>
        <w:t xml:space="preserve"> GCD’s Josh Walker, Dan Becker, and </w:t>
      </w:r>
      <w:proofErr w:type="spellStart"/>
      <w:r w:rsidR="00A76953" w:rsidRPr="007F5BA0">
        <w:rPr>
          <w:sz w:val="24"/>
          <w:szCs w:val="24"/>
        </w:rPr>
        <w:t>CyberMill’s</w:t>
      </w:r>
      <w:proofErr w:type="spellEnd"/>
      <w:r w:rsidR="00A76953" w:rsidRPr="007F5BA0">
        <w:rPr>
          <w:sz w:val="24"/>
          <w:szCs w:val="24"/>
        </w:rPr>
        <w:t xml:space="preserve"> Chantal </w:t>
      </w:r>
      <w:proofErr w:type="spellStart"/>
      <w:r w:rsidR="00A76953" w:rsidRPr="007F5BA0">
        <w:rPr>
          <w:sz w:val="24"/>
          <w:szCs w:val="24"/>
        </w:rPr>
        <w:t>DesJardin</w:t>
      </w:r>
      <w:proofErr w:type="spellEnd"/>
      <w:r w:rsidR="00A76953" w:rsidRPr="007F5BA0">
        <w:rPr>
          <w:sz w:val="24"/>
          <w:szCs w:val="24"/>
        </w:rPr>
        <w:t xml:space="preserve"> regarding financial records. </w:t>
      </w:r>
      <w:r w:rsidR="003C12D5" w:rsidRPr="007F5BA0">
        <w:rPr>
          <w:sz w:val="24"/>
          <w:szCs w:val="24"/>
        </w:rPr>
        <w:t>We</w:t>
      </w:r>
      <w:r w:rsidR="00A76953" w:rsidRPr="007F5BA0">
        <w:rPr>
          <w:sz w:val="24"/>
          <w:szCs w:val="24"/>
        </w:rPr>
        <w:t xml:space="preserve"> have also held a meeting with </w:t>
      </w:r>
      <w:r w:rsidR="00E75F25" w:rsidRPr="007F5BA0">
        <w:rPr>
          <w:sz w:val="24"/>
          <w:szCs w:val="24"/>
        </w:rPr>
        <w:t>EDA’s Richard Moore and JD City Councilor Eric Bush on 10/31/2023</w:t>
      </w:r>
      <w:r w:rsidR="007F5BA0">
        <w:rPr>
          <w:sz w:val="24"/>
          <w:szCs w:val="24"/>
        </w:rPr>
        <w:t>.</w:t>
      </w:r>
      <w:r w:rsidR="00FB4A89" w:rsidRPr="007F5BA0">
        <w:rPr>
          <w:sz w:val="24"/>
          <w:szCs w:val="24"/>
        </w:rPr>
        <w:t xml:space="preserve"> </w:t>
      </w:r>
    </w:p>
    <w:p w14:paraId="659E8031" w14:textId="77777777" w:rsidR="00AA05EC" w:rsidRDefault="00AA05EC" w:rsidP="00AA05EC">
      <w:pPr>
        <w:pStyle w:val="ListParagraph"/>
        <w:rPr>
          <w:sz w:val="24"/>
          <w:szCs w:val="24"/>
        </w:rPr>
      </w:pPr>
    </w:p>
    <w:p w14:paraId="1F8ED4B5" w14:textId="0D79CB86" w:rsidR="008E71CF" w:rsidRPr="007F5BA0" w:rsidRDefault="008E71CF" w:rsidP="007137B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Ducote Consulting’s scope of work is the EDA application and reimbursing grant funding for the City of John Day. We are not the Executive Director of Grant County Digital. </w:t>
      </w:r>
    </w:p>
    <w:p w14:paraId="6CAFB3F9" w14:textId="298024D0" w:rsidR="000A6DE2" w:rsidRPr="00B65348" w:rsidRDefault="00A15FB4" w:rsidP="000A6D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EDA Grant/City </w:t>
      </w:r>
      <w:r w:rsidR="007F5BA0">
        <w:rPr>
          <w:b/>
          <w:bCs/>
          <w:sz w:val="28"/>
          <w:szCs w:val="28"/>
        </w:rPr>
        <w:t xml:space="preserve">Budget </w:t>
      </w:r>
      <w:r>
        <w:rPr>
          <w:b/>
          <w:bCs/>
          <w:sz w:val="28"/>
          <w:szCs w:val="28"/>
        </w:rPr>
        <w:t>Implications</w:t>
      </w:r>
      <w:r w:rsidR="00705F96" w:rsidRPr="00B65348">
        <w:rPr>
          <w:b/>
          <w:bCs/>
          <w:sz w:val="28"/>
          <w:szCs w:val="28"/>
        </w:rPr>
        <w:t xml:space="preserve">: </w:t>
      </w:r>
    </w:p>
    <w:p w14:paraId="44A57328" w14:textId="2DDEEEE2" w:rsidR="005F0CA6" w:rsidRDefault="005F0CA6" w:rsidP="00705F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32B2B">
        <w:rPr>
          <w:sz w:val="24"/>
          <w:szCs w:val="24"/>
        </w:rPr>
        <w:t xml:space="preserve">FY24 </w:t>
      </w:r>
      <w:r w:rsidR="00D32B2B">
        <w:rPr>
          <w:sz w:val="24"/>
          <w:szCs w:val="24"/>
        </w:rPr>
        <w:t xml:space="preserve">Working Fund Balance </w:t>
      </w:r>
      <w:r w:rsidRPr="00D32B2B">
        <w:rPr>
          <w:sz w:val="24"/>
          <w:szCs w:val="24"/>
        </w:rPr>
        <w:t xml:space="preserve">for </w:t>
      </w:r>
      <w:r w:rsidR="00264F94" w:rsidRPr="00225883">
        <w:rPr>
          <w:sz w:val="24"/>
          <w:szCs w:val="24"/>
          <w:u w:val="single"/>
        </w:rPr>
        <w:t>Fund 07-112</w:t>
      </w:r>
    </w:p>
    <w:p w14:paraId="1DEB5CA9" w14:textId="71B16A3C" w:rsidR="00705F96" w:rsidRPr="006246D7" w:rsidRDefault="006246D7" w:rsidP="006246D7">
      <w:pPr>
        <w:pStyle w:val="ListParagraph"/>
        <w:numPr>
          <w:ilvl w:val="1"/>
          <w:numId w:val="7"/>
        </w:numPr>
        <w:rPr>
          <w:color w:val="FF0000"/>
          <w:sz w:val="24"/>
          <w:szCs w:val="24"/>
        </w:rPr>
      </w:pPr>
      <w:r w:rsidRPr="006246D7">
        <w:rPr>
          <w:color w:val="FF0000"/>
          <w:sz w:val="24"/>
          <w:szCs w:val="24"/>
        </w:rPr>
        <w:t>-$118,469</w:t>
      </w:r>
    </w:p>
    <w:p w14:paraId="47E32FE6" w14:textId="77777777" w:rsidR="006246D7" w:rsidRPr="006246D7" w:rsidRDefault="006246D7" w:rsidP="006246D7">
      <w:pPr>
        <w:pStyle w:val="ListParagraph"/>
        <w:ind w:left="1440"/>
        <w:rPr>
          <w:sz w:val="24"/>
          <w:szCs w:val="24"/>
        </w:rPr>
      </w:pPr>
    </w:p>
    <w:p w14:paraId="3A64EFC4" w14:textId="72447015" w:rsidR="006246D7" w:rsidRDefault="006246D7" w:rsidP="00705F9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Included in the FY 2024 adopted City budget: </w:t>
      </w:r>
    </w:p>
    <w:p w14:paraId="4BD9511E" w14:textId="4CE66558" w:rsidR="006246D7" w:rsidRDefault="002E26F6" w:rsidP="006246D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Oregon Broadband Office </w:t>
      </w:r>
      <w:r w:rsidR="009952DA">
        <w:rPr>
          <w:sz w:val="24"/>
          <w:szCs w:val="24"/>
        </w:rPr>
        <w:t>“BTAP”</w:t>
      </w:r>
      <w:r>
        <w:rPr>
          <w:sz w:val="24"/>
          <w:szCs w:val="24"/>
        </w:rPr>
        <w:t>, $1</w:t>
      </w:r>
      <w:r w:rsidR="00135572">
        <w:rPr>
          <w:sz w:val="24"/>
          <w:szCs w:val="24"/>
        </w:rPr>
        <w:t>45</w:t>
      </w:r>
      <w:r>
        <w:rPr>
          <w:sz w:val="24"/>
          <w:szCs w:val="24"/>
        </w:rPr>
        <w:t>,000</w:t>
      </w:r>
    </w:p>
    <w:p w14:paraId="6D6B29B5" w14:textId="0D32675B" w:rsidR="006246D7" w:rsidRDefault="00FC5F36" w:rsidP="00225883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This funding is not open for application yet</w:t>
      </w:r>
      <w:r w:rsidR="007F5BA0">
        <w:rPr>
          <w:sz w:val="24"/>
          <w:szCs w:val="24"/>
        </w:rPr>
        <w:t>, has not been applied for</w:t>
      </w:r>
    </w:p>
    <w:p w14:paraId="74FA993D" w14:textId="77777777" w:rsidR="00225883" w:rsidRPr="00225883" w:rsidRDefault="00225883" w:rsidP="00225883">
      <w:pPr>
        <w:pStyle w:val="ListParagraph"/>
        <w:ind w:left="2160"/>
        <w:rPr>
          <w:sz w:val="24"/>
          <w:szCs w:val="24"/>
        </w:rPr>
      </w:pPr>
    </w:p>
    <w:p w14:paraId="595C1BBF" w14:textId="58E71D29" w:rsidR="00C85316" w:rsidRPr="00D32B2B" w:rsidRDefault="00C85316" w:rsidP="00705F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32B2B">
        <w:rPr>
          <w:sz w:val="24"/>
          <w:szCs w:val="24"/>
        </w:rPr>
        <w:t xml:space="preserve">Costs that are </w:t>
      </w:r>
      <w:r w:rsidRPr="00D32B2B">
        <w:rPr>
          <w:b/>
          <w:bCs/>
          <w:sz w:val="24"/>
          <w:szCs w:val="24"/>
        </w:rPr>
        <w:t>non-reimbursable</w:t>
      </w:r>
      <w:r w:rsidR="00705F96" w:rsidRPr="00D32B2B">
        <w:rPr>
          <w:sz w:val="24"/>
          <w:szCs w:val="24"/>
        </w:rPr>
        <w:t>, but coded to EDA on the Capital Outlay</w:t>
      </w:r>
      <w:r w:rsidRPr="00D32B2B">
        <w:rPr>
          <w:sz w:val="24"/>
          <w:szCs w:val="24"/>
        </w:rPr>
        <w:t xml:space="preserve"> </w:t>
      </w:r>
    </w:p>
    <w:p w14:paraId="0F4CCE78" w14:textId="3AD79835" w:rsidR="00C85316" w:rsidRPr="00C85316" w:rsidRDefault="00C85316" w:rsidP="00705F96">
      <w:pPr>
        <w:pStyle w:val="ListParagraph"/>
        <w:numPr>
          <w:ilvl w:val="1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LS Networks/</w:t>
      </w:r>
      <w:proofErr w:type="spellStart"/>
      <w:r>
        <w:rPr>
          <w:sz w:val="24"/>
          <w:szCs w:val="24"/>
        </w:rPr>
        <w:t>Commstructure</w:t>
      </w:r>
      <w:proofErr w:type="spellEnd"/>
    </w:p>
    <w:p w14:paraId="62E78165" w14:textId="77777777" w:rsidR="00705F96" w:rsidRPr="00C85316" w:rsidRDefault="00705F96" w:rsidP="00705F96">
      <w:pPr>
        <w:pStyle w:val="ListParagraph"/>
        <w:ind w:left="1440"/>
        <w:rPr>
          <w:b/>
          <w:bCs/>
          <w:sz w:val="24"/>
          <w:szCs w:val="24"/>
        </w:rPr>
      </w:pPr>
    </w:p>
    <w:p w14:paraId="0EDFEED8" w14:textId="2537633F" w:rsidR="00705F96" w:rsidRPr="00D32B2B" w:rsidRDefault="00705F96" w:rsidP="00705F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32B2B">
        <w:rPr>
          <w:sz w:val="24"/>
          <w:szCs w:val="24"/>
        </w:rPr>
        <w:t xml:space="preserve">Cost that </w:t>
      </w:r>
      <w:r w:rsidR="00C22681">
        <w:rPr>
          <w:sz w:val="24"/>
          <w:szCs w:val="24"/>
        </w:rPr>
        <w:t>are</w:t>
      </w:r>
      <w:r w:rsidRPr="00D32B2B">
        <w:rPr>
          <w:b/>
          <w:bCs/>
          <w:sz w:val="24"/>
          <w:szCs w:val="24"/>
        </w:rPr>
        <w:t xml:space="preserve"> non-</w:t>
      </w:r>
      <w:r w:rsidR="00A134C0" w:rsidRPr="00D32B2B">
        <w:rPr>
          <w:b/>
          <w:bCs/>
          <w:sz w:val="24"/>
          <w:szCs w:val="24"/>
        </w:rPr>
        <w:t>reimbursable</w:t>
      </w:r>
      <w:r w:rsidRPr="00D32B2B">
        <w:rPr>
          <w:sz w:val="24"/>
          <w:szCs w:val="24"/>
        </w:rPr>
        <w:t xml:space="preserve">, but I’m not sure where it’s coded: </w:t>
      </w:r>
    </w:p>
    <w:p w14:paraId="54982D71" w14:textId="2E285DB5" w:rsidR="00705F96" w:rsidRPr="00A134C0" w:rsidRDefault="00705F96" w:rsidP="00705F96">
      <w:pPr>
        <w:pStyle w:val="ListParagraph"/>
        <w:numPr>
          <w:ilvl w:val="1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purchase of 241 W. Main St. -- </w:t>
      </w:r>
      <w:r w:rsidR="00A134C0" w:rsidRPr="004127B3">
        <w:rPr>
          <w:b/>
          <w:bCs/>
          <w:sz w:val="24"/>
          <w:szCs w:val="24"/>
        </w:rPr>
        <w:t>$90,632.69</w:t>
      </w:r>
    </w:p>
    <w:p w14:paraId="492C36A7" w14:textId="494E9CD9" w:rsidR="00A134C0" w:rsidRPr="00705F96" w:rsidRDefault="00A134C0" w:rsidP="00705F96">
      <w:pPr>
        <w:pStyle w:val="ListParagraph"/>
        <w:numPr>
          <w:ilvl w:val="1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Would have been </w:t>
      </w:r>
      <w:r w:rsidR="004127B3">
        <w:rPr>
          <w:sz w:val="24"/>
          <w:szCs w:val="24"/>
        </w:rPr>
        <w:t>reimbursable</w:t>
      </w:r>
      <w:r>
        <w:rPr>
          <w:sz w:val="24"/>
          <w:szCs w:val="24"/>
        </w:rPr>
        <w:t xml:space="preserve"> under the Pre-Award SAC. Now cannot even count as </w:t>
      </w:r>
      <w:proofErr w:type="gramStart"/>
      <w:r>
        <w:rPr>
          <w:sz w:val="24"/>
          <w:szCs w:val="24"/>
        </w:rPr>
        <w:t>match</w:t>
      </w:r>
      <w:proofErr w:type="gramEnd"/>
      <w:r>
        <w:rPr>
          <w:sz w:val="24"/>
          <w:szCs w:val="24"/>
        </w:rPr>
        <w:t xml:space="preserve">. </w:t>
      </w:r>
    </w:p>
    <w:p w14:paraId="1C1B3D23" w14:textId="77777777" w:rsidR="00705F96" w:rsidRPr="00705F96" w:rsidRDefault="00705F96" w:rsidP="00705F96">
      <w:pPr>
        <w:pStyle w:val="ListParagraph"/>
        <w:ind w:left="1440"/>
        <w:rPr>
          <w:b/>
          <w:bCs/>
          <w:sz w:val="24"/>
          <w:szCs w:val="24"/>
        </w:rPr>
      </w:pPr>
    </w:p>
    <w:p w14:paraId="6F50F46D" w14:textId="6C1C25B8" w:rsidR="00C85316" w:rsidRPr="00D32B2B" w:rsidRDefault="00C85316" w:rsidP="00705F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32B2B">
        <w:rPr>
          <w:sz w:val="24"/>
          <w:szCs w:val="24"/>
        </w:rPr>
        <w:t xml:space="preserve">Costs that </w:t>
      </w:r>
      <w:r w:rsidRPr="00D32B2B">
        <w:rPr>
          <w:b/>
          <w:bCs/>
          <w:sz w:val="24"/>
          <w:szCs w:val="24"/>
          <w:u w:val="single"/>
        </w:rPr>
        <w:t>MAY</w:t>
      </w:r>
      <w:r w:rsidRPr="00D32B2B">
        <w:rPr>
          <w:sz w:val="24"/>
          <w:szCs w:val="24"/>
        </w:rPr>
        <w:t xml:space="preserve"> </w:t>
      </w:r>
      <w:proofErr w:type="gramStart"/>
      <w:r w:rsidRPr="00D32B2B">
        <w:rPr>
          <w:sz w:val="24"/>
          <w:szCs w:val="24"/>
        </w:rPr>
        <w:t>not be</w:t>
      </w:r>
      <w:proofErr w:type="gramEnd"/>
      <w:r w:rsidRPr="00D32B2B">
        <w:rPr>
          <w:sz w:val="24"/>
          <w:szCs w:val="24"/>
        </w:rPr>
        <w:t xml:space="preserve"> reimbursable: </w:t>
      </w:r>
    </w:p>
    <w:p w14:paraId="6F4EEABB" w14:textId="31B0D405" w:rsidR="00C85316" w:rsidRPr="00A134C0" w:rsidRDefault="00C85316" w:rsidP="00705F96">
      <w:pPr>
        <w:pStyle w:val="ListParagraph"/>
        <w:numPr>
          <w:ilvl w:val="1"/>
          <w:numId w:val="7"/>
        </w:numPr>
        <w:rPr>
          <w:b/>
          <w:bCs/>
          <w:sz w:val="24"/>
          <w:szCs w:val="24"/>
        </w:rPr>
      </w:pPr>
      <w:r w:rsidRPr="00705F96">
        <w:rPr>
          <w:sz w:val="24"/>
          <w:szCs w:val="24"/>
        </w:rPr>
        <w:t>Catalyst</w:t>
      </w:r>
      <w:r w:rsidR="00705F96">
        <w:rPr>
          <w:sz w:val="24"/>
          <w:szCs w:val="24"/>
        </w:rPr>
        <w:t xml:space="preserve"> - </w:t>
      </w:r>
      <w:r w:rsidRPr="00705F96">
        <w:rPr>
          <w:sz w:val="24"/>
          <w:szCs w:val="24"/>
        </w:rPr>
        <w:t xml:space="preserve">Depends on the status of Catalyst’s </w:t>
      </w:r>
      <w:r w:rsidRPr="00705F96">
        <w:rPr>
          <w:i/>
          <w:iCs/>
          <w:sz w:val="24"/>
          <w:szCs w:val="24"/>
        </w:rPr>
        <w:t>competitive</w:t>
      </w:r>
      <w:r w:rsidRPr="00705F96">
        <w:rPr>
          <w:sz w:val="24"/>
          <w:szCs w:val="24"/>
        </w:rPr>
        <w:t xml:space="preserve"> </w:t>
      </w:r>
      <w:r w:rsidRPr="00705F96">
        <w:rPr>
          <w:i/>
          <w:iCs/>
          <w:sz w:val="24"/>
          <w:szCs w:val="24"/>
        </w:rPr>
        <w:t>and open</w:t>
      </w:r>
      <w:r w:rsidRPr="00705F96">
        <w:rPr>
          <w:sz w:val="24"/>
          <w:szCs w:val="24"/>
        </w:rPr>
        <w:t xml:space="preserve"> procurement. </w:t>
      </w:r>
    </w:p>
    <w:p w14:paraId="45B8E632" w14:textId="77777777" w:rsidR="00A134C0" w:rsidRPr="00705F96" w:rsidRDefault="00A134C0" w:rsidP="00A134C0">
      <w:pPr>
        <w:pStyle w:val="ListParagraph"/>
        <w:ind w:left="1440"/>
        <w:rPr>
          <w:b/>
          <w:bCs/>
          <w:sz w:val="24"/>
          <w:szCs w:val="24"/>
        </w:rPr>
      </w:pPr>
    </w:p>
    <w:p w14:paraId="34863A95" w14:textId="0266E340" w:rsidR="00814DFB" w:rsidRPr="00D32B2B" w:rsidRDefault="00814DFB" w:rsidP="00814DF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32B2B">
        <w:rPr>
          <w:sz w:val="24"/>
          <w:szCs w:val="24"/>
        </w:rPr>
        <w:t xml:space="preserve">Costs that are </w:t>
      </w:r>
      <w:r w:rsidRPr="00D32B2B">
        <w:rPr>
          <w:b/>
          <w:bCs/>
          <w:sz w:val="24"/>
          <w:szCs w:val="24"/>
        </w:rPr>
        <w:t>likely</w:t>
      </w:r>
      <w:r w:rsidRPr="00D32B2B">
        <w:rPr>
          <w:sz w:val="24"/>
          <w:szCs w:val="24"/>
        </w:rPr>
        <w:t xml:space="preserve"> reimbursable: </w:t>
      </w:r>
    </w:p>
    <w:p w14:paraId="6AC3E282" w14:textId="77777777" w:rsidR="00705F96" w:rsidRPr="00705F96" w:rsidRDefault="00814DFB" w:rsidP="00705F96">
      <w:pPr>
        <w:pStyle w:val="ListParagraph"/>
        <w:numPr>
          <w:ilvl w:val="1"/>
          <w:numId w:val="7"/>
        </w:numPr>
        <w:rPr>
          <w:b/>
          <w:bCs/>
          <w:sz w:val="24"/>
          <w:szCs w:val="24"/>
        </w:rPr>
      </w:pPr>
      <w:r w:rsidRPr="00705F96">
        <w:rPr>
          <w:sz w:val="24"/>
          <w:szCs w:val="24"/>
        </w:rPr>
        <w:t xml:space="preserve">Ducote Consulting admin costs – the roster will count as a competitive procurement. </w:t>
      </w:r>
    </w:p>
    <w:p w14:paraId="307C02A8" w14:textId="74CCAADD" w:rsidR="00705F96" w:rsidRPr="00705F96" w:rsidRDefault="00705F96" w:rsidP="00705F96">
      <w:pPr>
        <w:pStyle w:val="ListParagraph"/>
        <w:numPr>
          <w:ilvl w:val="1"/>
          <w:numId w:val="7"/>
        </w:numPr>
        <w:rPr>
          <w:b/>
          <w:bCs/>
          <w:sz w:val="24"/>
          <w:szCs w:val="24"/>
        </w:rPr>
      </w:pPr>
      <w:r w:rsidRPr="00705F96">
        <w:rPr>
          <w:sz w:val="24"/>
          <w:szCs w:val="24"/>
        </w:rPr>
        <w:t>BLJ</w:t>
      </w:r>
    </w:p>
    <w:p w14:paraId="7ABF5896" w14:textId="0795590C" w:rsidR="00F25D88" w:rsidRPr="00B65348" w:rsidRDefault="00F25D88" w:rsidP="00F25D88">
      <w:pPr>
        <w:rPr>
          <w:b/>
          <w:bCs/>
          <w:sz w:val="28"/>
          <w:szCs w:val="28"/>
        </w:rPr>
      </w:pPr>
      <w:r w:rsidRPr="00B65348">
        <w:rPr>
          <w:b/>
          <w:bCs/>
          <w:sz w:val="28"/>
          <w:szCs w:val="28"/>
        </w:rPr>
        <w:t xml:space="preserve">WHAT ARE </w:t>
      </w:r>
      <w:r w:rsidR="00342CDB">
        <w:rPr>
          <w:b/>
          <w:bCs/>
          <w:sz w:val="28"/>
          <w:szCs w:val="28"/>
        </w:rPr>
        <w:t>“</w:t>
      </w:r>
      <w:r w:rsidRPr="00B65348">
        <w:rPr>
          <w:b/>
          <w:bCs/>
          <w:sz w:val="28"/>
          <w:szCs w:val="28"/>
        </w:rPr>
        <w:t>PRE-AWARD</w:t>
      </w:r>
      <w:r w:rsidR="00342CDB">
        <w:rPr>
          <w:b/>
          <w:bCs/>
          <w:sz w:val="28"/>
          <w:szCs w:val="28"/>
        </w:rPr>
        <w:t>”</w:t>
      </w:r>
      <w:r w:rsidRPr="00B65348">
        <w:rPr>
          <w:b/>
          <w:bCs/>
          <w:sz w:val="28"/>
          <w:szCs w:val="28"/>
        </w:rPr>
        <w:t xml:space="preserve"> COSTS</w:t>
      </w:r>
    </w:p>
    <w:p w14:paraId="401DD65B" w14:textId="5939BA9B" w:rsidR="00F25D88" w:rsidRPr="00F25D88" w:rsidRDefault="00F25D88" w:rsidP="00F25D8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25D88">
        <w:rPr>
          <w:sz w:val="24"/>
          <w:szCs w:val="24"/>
        </w:rPr>
        <w:lastRenderedPageBreak/>
        <w:t>Pre-Award</w:t>
      </w:r>
      <w:r>
        <w:rPr>
          <w:sz w:val="24"/>
          <w:szCs w:val="24"/>
        </w:rPr>
        <w:t xml:space="preserve"> costs are all incurred costs between </w:t>
      </w:r>
      <w:r w:rsidRPr="00225883">
        <w:rPr>
          <w:b/>
          <w:bCs/>
          <w:sz w:val="24"/>
          <w:szCs w:val="24"/>
        </w:rPr>
        <w:t xml:space="preserve">April 2021 and April 20, </w:t>
      </w:r>
      <w:proofErr w:type="gramStart"/>
      <w:r w:rsidRPr="00225883">
        <w:rPr>
          <w:b/>
          <w:bCs/>
          <w:sz w:val="24"/>
          <w:szCs w:val="24"/>
        </w:rPr>
        <w:t>2022</w:t>
      </w:r>
      <w:proofErr w:type="gramEnd"/>
      <w:r w:rsidR="005F0CA6" w:rsidRPr="00225883">
        <w:rPr>
          <w:b/>
          <w:bCs/>
          <w:sz w:val="24"/>
          <w:szCs w:val="24"/>
        </w:rPr>
        <w:t xml:space="preserve"> for EDA eligible costs</w:t>
      </w:r>
      <w:r w:rsidR="005F0CA6">
        <w:rPr>
          <w:sz w:val="24"/>
          <w:szCs w:val="24"/>
        </w:rPr>
        <w:t xml:space="preserve"> on the EDA fiber project</w:t>
      </w:r>
      <w:r>
        <w:rPr>
          <w:sz w:val="24"/>
          <w:szCs w:val="24"/>
        </w:rPr>
        <w:t xml:space="preserve">. This includes the 241 W. Main building, purchased in June 2021. </w:t>
      </w:r>
    </w:p>
    <w:p w14:paraId="6B839996" w14:textId="7AD073BD" w:rsidR="00814DFB" w:rsidRPr="00B65348" w:rsidRDefault="00814DFB" w:rsidP="00814DFB">
      <w:pPr>
        <w:rPr>
          <w:sz w:val="28"/>
          <w:szCs w:val="28"/>
        </w:rPr>
      </w:pPr>
      <w:r w:rsidRPr="00B65348">
        <w:rPr>
          <w:b/>
          <w:bCs/>
          <w:sz w:val="28"/>
          <w:szCs w:val="28"/>
        </w:rPr>
        <w:t xml:space="preserve">Why </w:t>
      </w:r>
      <w:r w:rsidR="007F5BA0">
        <w:rPr>
          <w:b/>
          <w:bCs/>
          <w:sz w:val="28"/>
          <w:szCs w:val="28"/>
        </w:rPr>
        <w:t xml:space="preserve">Can’t </w:t>
      </w:r>
      <w:r w:rsidRPr="00B65348">
        <w:rPr>
          <w:b/>
          <w:bCs/>
          <w:sz w:val="28"/>
          <w:szCs w:val="28"/>
        </w:rPr>
        <w:t xml:space="preserve">Pre-Award Costs </w:t>
      </w:r>
      <w:r w:rsidR="007F5BA0">
        <w:rPr>
          <w:b/>
          <w:bCs/>
          <w:sz w:val="28"/>
          <w:szCs w:val="28"/>
        </w:rPr>
        <w:t xml:space="preserve">be </w:t>
      </w:r>
      <w:r w:rsidRPr="00B65348">
        <w:rPr>
          <w:b/>
          <w:bCs/>
          <w:sz w:val="28"/>
          <w:szCs w:val="28"/>
        </w:rPr>
        <w:t xml:space="preserve">Claimed? </w:t>
      </w:r>
    </w:p>
    <w:p w14:paraId="77E74590" w14:textId="29A6B52E" w:rsidR="00F11B0D" w:rsidRPr="007975A0" w:rsidRDefault="007975A0" w:rsidP="00F611DD">
      <w:pPr>
        <w:rPr>
          <w:b/>
          <w:bCs/>
          <w:sz w:val="24"/>
          <w:szCs w:val="24"/>
        </w:rPr>
      </w:pPr>
      <w:r w:rsidRPr="00F611DD">
        <w:rPr>
          <w:b/>
          <w:bCs/>
          <w:sz w:val="24"/>
          <w:szCs w:val="24"/>
        </w:rPr>
        <w:t xml:space="preserve">An </w:t>
      </w:r>
      <w:r w:rsidR="00222808" w:rsidRPr="00F611DD">
        <w:rPr>
          <w:b/>
          <w:bCs/>
          <w:sz w:val="24"/>
          <w:szCs w:val="24"/>
        </w:rPr>
        <w:t xml:space="preserve">August 2022 </w:t>
      </w:r>
      <w:r w:rsidRPr="00F611DD">
        <w:rPr>
          <w:b/>
          <w:bCs/>
          <w:sz w:val="24"/>
          <w:szCs w:val="24"/>
        </w:rPr>
        <w:t xml:space="preserve">amendment </w:t>
      </w:r>
      <w:r w:rsidRPr="007975A0">
        <w:rPr>
          <w:sz w:val="24"/>
          <w:szCs w:val="24"/>
        </w:rPr>
        <w:t xml:space="preserve">was submitted to change the budget and remove from </w:t>
      </w:r>
      <w:r>
        <w:rPr>
          <w:sz w:val="24"/>
          <w:szCs w:val="24"/>
        </w:rPr>
        <w:t>architectural/engineering costs</w:t>
      </w:r>
      <w:r w:rsidR="0035667B">
        <w:rPr>
          <w:sz w:val="24"/>
          <w:szCs w:val="24"/>
        </w:rPr>
        <w:t xml:space="preserve"> (SAC #</w:t>
      </w:r>
      <w:r w:rsidR="007F5BA0">
        <w:rPr>
          <w:sz w:val="24"/>
          <w:szCs w:val="24"/>
        </w:rPr>
        <w:t>31)</w:t>
      </w:r>
      <w:r w:rsidR="00814DFB">
        <w:rPr>
          <w:sz w:val="24"/>
          <w:szCs w:val="24"/>
        </w:rPr>
        <w:t xml:space="preserve"> and Pre-Award Costs</w:t>
      </w:r>
      <w:r w:rsidR="009D5870">
        <w:rPr>
          <w:sz w:val="24"/>
          <w:szCs w:val="24"/>
        </w:rPr>
        <w:t xml:space="preserve"> (SAC #22)</w:t>
      </w:r>
      <w:r>
        <w:rPr>
          <w:sz w:val="24"/>
          <w:szCs w:val="24"/>
        </w:rPr>
        <w:t xml:space="preserve"> from the </w:t>
      </w:r>
      <w:r w:rsidRPr="007975A0">
        <w:rPr>
          <w:sz w:val="24"/>
          <w:szCs w:val="24"/>
        </w:rPr>
        <w:t>“Special Award Conditions” (SACs)</w:t>
      </w:r>
      <w:r>
        <w:rPr>
          <w:sz w:val="24"/>
          <w:szCs w:val="24"/>
        </w:rPr>
        <w:t xml:space="preserve"> an</w:t>
      </w:r>
      <w:r w:rsidR="00814DFB">
        <w:rPr>
          <w:sz w:val="24"/>
          <w:szCs w:val="24"/>
        </w:rPr>
        <w:t>d EDA contract</w:t>
      </w:r>
      <w:r>
        <w:rPr>
          <w:sz w:val="24"/>
          <w:szCs w:val="24"/>
        </w:rPr>
        <w:t>.</w:t>
      </w:r>
    </w:p>
    <w:p w14:paraId="31C66CD8" w14:textId="2F918781" w:rsidR="007975A0" w:rsidRPr="00793BB9" w:rsidRDefault="00F611DD" w:rsidP="00F611DD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793BB9">
        <w:rPr>
          <w:b/>
          <w:bCs/>
          <w:sz w:val="24"/>
          <w:szCs w:val="24"/>
          <w:u w:val="single"/>
        </w:rPr>
        <w:t xml:space="preserve">Conclusion: </w:t>
      </w:r>
      <w:r w:rsidR="007975A0" w:rsidRPr="00793BB9">
        <w:rPr>
          <w:b/>
          <w:bCs/>
          <w:sz w:val="24"/>
          <w:szCs w:val="24"/>
          <w:u w:val="single"/>
        </w:rPr>
        <w:t>LS Networks will not be able to be reimbursed from th</w:t>
      </w:r>
      <w:r w:rsidRPr="00793BB9">
        <w:rPr>
          <w:b/>
          <w:bCs/>
          <w:sz w:val="24"/>
          <w:szCs w:val="24"/>
          <w:u w:val="single"/>
        </w:rPr>
        <w:t>is</w:t>
      </w:r>
      <w:r w:rsidR="007975A0" w:rsidRPr="00793BB9">
        <w:rPr>
          <w:b/>
          <w:bCs/>
          <w:sz w:val="24"/>
          <w:szCs w:val="24"/>
          <w:u w:val="single"/>
        </w:rPr>
        <w:t xml:space="preserve"> EDA grant</w:t>
      </w:r>
      <w:r w:rsidR="00B65348">
        <w:rPr>
          <w:b/>
          <w:bCs/>
          <w:sz w:val="24"/>
          <w:szCs w:val="24"/>
          <w:u w:val="single"/>
        </w:rPr>
        <w:t xml:space="preserve"> and cannot be claimed as </w:t>
      </w:r>
      <w:proofErr w:type="gramStart"/>
      <w:r w:rsidR="00B65348">
        <w:rPr>
          <w:b/>
          <w:bCs/>
          <w:sz w:val="24"/>
          <w:szCs w:val="24"/>
          <w:u w:val="single"/>
        </w:rPr>
        <w:t>match</w:t>
      </w:r>
      <w:proofErr w:type="gramEnd"/>
      <w:r w:rsidR="007975A0" w:rsidRPr="00793BB9">
        <w:rPr>
          <w:b/>
          <w:bCs/>
          <w:sz w:val="24"/>
          <w:szCs w:val="24"/>
          <w:u w:val="single"/>
        </w:rPr>
        <w:t xml:space="preserve">. </w:t>
      </w:r>
    </w:p>
    <w:p w14:paraId="2C447537" w14:textId="77777777" w:rsidR="003C12D5" w:rsidRPr="003C12D5" w:rsidRDefault="003C12D5" w:rsidP="003C12D5">
      <w:pPr>
        <w:pStyle w:val="ListParagraph"/>
        <w:rPr>
          <w:sz w:val="24"/>
          <w:szCs w:val="24"/>
          <w:u w:val="single"/>
        </w:rPr>
      </w:pPr>
    </w:p>
    <w:p w14:paraId="5C11E44B" w14:textId="54F2467C" w:rsidR="003C12D5" w:rsidRPr="00793BB9" w:rsidRDefault="003C12D5" w:rsidP="00F611DD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793BB9">
        <w:rPr>
          <w:b/>
          <w:bCs/>
          <w:sz w:val="24"/>
          <w:szCs w:val="24"/>
          <w:u w:val="single"/>
        </w:rPr>
        <w:t xml:space="preserve">Conclusion: The John Day </w:t>
      </w:r>
      <w:proofErr w:type="spellStart"/>
      <w:r w:rsidRPr="00793BB9">
        <w:rPr>
          <w:b/>
          <w:bCs/>
          <w:sz w:val="24"/>
          <w:szCs w:val="24"/>
          <w:u w:val="single"/>
        </w:rPr>
        <w:t>CyberMill</w:t>
      </w:r>
      <w:proofErr w:type="spellEnd"/>
      <w:r w:rsidRPr="00793BB9">
        <w:rPr>
          <w:b/>
          <w:bCs/>
          <w:sz w:val="24"/>
          <w:szCs w:val="24"/>
          <w:u w:val="single"/>
        </w:rPr>
        <w:t xml:space="preserve"> building at 241 W. Main cannot be reimbursed by EDA</w:t>
      </w:r>
      <w:r w:rsidR="00B65348">
        <w:rPr>
          <w:b/>
          <w:bCs/>
          <w:sz w:val="24"/>
          <w:szCs w:val="24"/>
          <w:u w:val="single"/>
        </w:rPr>
        <w:t xml:space="preserve"> and cannot be claimed as </w:t>
      </w:r>
      <w:proofErr w:type="gramStart"/>
      <w:r w:rsidR="00B65348">
        <w:rPr>
          <w:b/>
          <w:bCs/>
          <w:sz w:val="24"/>
          <w:szCs w:val="24"/>
          <w:u w:val="single"/>
        </w:rPr>
        <w:t>match</w:t>
      </w:r>
      <w:proofErr w:type="gramEnd"/>
      <w:r w:rsidR="009B393F">
        <w:rPr>
          <w:b/>
          <w:bCs/>
          <w:sz w:val="24"/>
          <w:szCs w:val="24"/>
          <w:u w:val="single"/>
        </w:rPr>
        <w:t>.</w:t>
      </w:r>
    </w:p>
    <w:p w14:paraId="0878B881" w14:textId="66E91B15" w:rsidR="003C12D5" w:rsidRPr="000A6DE2" w:rsidRDefault="000A6DE2" w:rsidP="000E528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A6DE2">
        <w:rPr>
          <w:sz w:val="24"/>
          <w:szCs w:val="24"/>
        </w:rPr>
        <w:t xml:space="preserve">The JD </w:t>
      </w:r>
      <w:proofErr w:type="spellStart"/>
      <w:r w:rsidRPr="000A6DE2">
        <w:rPr>
          <w:sz w:val="24"/>
          <w:szCs w:val="24"/>
        </w:rPr>
        <w:t>CyberMill</w:t>
      </w:r>
      <w:proofErr w:type="spellEnd"/>
      <w:r w:rsidRPr="000A6DE2">
        <w:rPr>
          <w:sz w:val="24"/>
          <w:szCs w:val="24"/>
        </w:rPr>
        <w:t xml:space="preserve"> </w:t>
      </w:r>
      <w:r w:rsidR="003C12D5" w:rsidRPr="000A6DE2">
        <w:rPr>
          <w:sz w:val="24"/>
          <w:szCs w:val="24"/>
        </w:rPr>
        <w:t>was purchased in June 2021, within the “Pre-Award” period</w:t>
      </w:r>
      <w:r w:rsidRPr="000A6DE2">
        <w:rPr>
          <w:sz w:val="24"/>
          <w:szCs w:val="24"/>
        </w:rPr>
        <w:t>, which was removed via amendment, which took 10 months to execute within EDA.</w:t>
      </w:r>
      <w:r w:rsidR="003C12D5" w:rsidRPr="000A6DE2">
        <w:rPr>
          <w:sz w:val="24"/>
          <w:szCs w:val="24"/>
        </w:rPr>
        <w:t xml:space="preserve"> </w:t>
      </w:r>
    </w:p>
    <w:p w14:paraId="200DC1A1" w14:textId="0FEB5157" w:rsidR="00B95E28" w:rsidRPr="00B65348" w:rsidRDefault="009F6F85" w:rsidP="0027029F">
      <w:pPr>
        <w:rPr>
          <w:b/>
          <w:bCs/>
          <w:sz w:val="28"/>
          <w:szCs w:val="28"/>
        </w:rPr>
      </w:pPr>
      <w:r w:rsidRPr="00B65348">
        <w:rPr>
          <w:b/>
          <w:bCs/>
          <w:sz w:val="28"/>
          <w:szCs w:val="28"/>
        </w:rPr>
        <w:t xml:space="preserve">Fund 07 </w:t>
      </w:r>
      <w:r w:rsidR="00B95E28" w:rsidRPr="00B65348">
        <w:rPr>
          <w:b/>
          <w:bCs/>
          <w:sz w:val="28"/>
          <w:szCs w:val="28"/>
        </w:rPr>
        <w:t>Potential Revenue</w:t>
      </w:r>
      <w:r>
        <w:rPr>
          <w:b/>
          <w:bCs/>
          <w:sz w:val="28"/>
          <w:szCs w:val="28"/>
        </w:rPr>
        <w:t xml:space="preserve"> (grants)</w:t>
      </w:r>
      <w:r w:rsidR="00B95E28" w:rsidRPr="00B65348">
        <w:rPr>
          <w:b/>
          <w:bCs/>
          <w:sz w:val="28"/>
          <w:szCs w:val="28"/>
        </w:rPr>
        <w:t xml:space="preserve">: </w:t>
      </w:r>
    </w:p>
    <w:p w14:paraId="272A36A7" w14:textId="5C278DE1" w:rsidR="00A17FA3" w:rsidRDefault="00A17FA3" w:rsidP="00B95E2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17FA3">
        <w:rPr>
          <w:sz w:val="24"/>
          <w:szCs w:val="24"/>
        </w:rPr>
        <w:t xml:space="preserve">No EDA Reimbursement Requests </w:t>
      </w:r>
      <w:r>
        <w:rPr>
          <w:sz w:val="24"/>
          <w:szCs w:val="24"/>
        </w:rPr>
        <w:t>have been made</w:t>
      </w:r>
      <w:r w:rsidRPr="00A17FA3">
        <w:rPr>
          <w:sz w:val="24"/>
          <w:szCs w:val="24"/>
        </w:rPr>
        <w:t xml:space="preserve"> to-date (Oct 2023)</w:t>
      </w:r>
    </w:p>
    <w:p w14:paraId="23FA7F92" w14:textId="77777777" w:rsidR="00A17FA3" w:rsidRPr="00A17FA3" w:rsidRDefault="00A17FA3" w:rsidP="00A17FA3">
      <w:pPr>
        <w:pStyle w:val="ListParagraph"/>
        <w:rPr>
          <w:sz w:val="24"/>
          <w:szCs w:val="24"/>
        </w:rPr>
      </w:pPr>
    </w:p>
    <w:p w14:paraId="0EB377C3" w14:textId="5EF99085" w:rsidR="00793BB9" w:rsidRPr="00793BB9" w:rsidRDefault="00793BB9" w:rsidP="00B95E28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Past Funding: </w:t>
      </w:r>
    </w:p>
    <w:p w14:paraId="3563FB18" w14:textId="4028048D" w:rsidR="00B95E28" w:rsidRPr="00B95E28" w:rsidRDefault="00B95E28" w:rsidP="00793BB9">
      <w:pPr>
        <w:pStyle w:val="ListParagraph"/>
        <w:numPr>
          <w:ilvl w:val="1"/>
          <w:numId w:val="10"/>
        </w:numPr>
        <w:rPr>
          <w:b/>
          <w:bCs/>
          <w:sz w:val="24"/>
          <w:szCs w:val="24"/>
        </w:rPr>
      </w:pPr>
      <w:r w:rsidRPr="00B95E28">
        <w:rPr>
          <w:sz w:val="24"/>
          <w:szCs w:val="24"/>
        </w:rPr>
        <w:t xml:space="preserve">DAS/HB-5006 funds, GCD Financial update: </w:t>
      </w:r>
      <w:r w:rsidR="00324730">
        <w:rPr>
          <w:rFonts w:cstheme="minorHAnsi"/>
          <w:color w:val="222222"/>
          <w:sz w:val="24"/>
          <w:szCs w:val="24"/>
          <w:shd w:val="clear" w:color="auto" w:fill="FFFFFF"/>
        </w:rPr>
        <w:t>“</w:t>
      </w:r>
      <w:r w:rsidRPr="00B95E28">
        <w:rPr>
          <w:rFonts w:cstheme="minorHAnsi"/>
          <w:color w:val="222222"/>
          <w:sz w:val="24"/>
          <w:szCs w:val="24"/>
          <w:shd w:val="clear" w:color="auto" w:fill="FFFFFF"/>
        </w:rPr>
        <w:t>The grant funds and interest earned on the funds were fully expended at the end of FY2022.</w:t>
      </w:r>
      <w:r w:rsidR="00324730">
        <w:rPr>
          <w:rFonts w:cstheme="minorHAnsi"/>
          <w:color w:val="222222"/>
          <w:sz w:val="24"/>
          <w:szCs w:val="24"/>
          <w:shd w:val="clear" w:color="auto" w:fill="FFFFFF"/>
        </w:rPr>
        <w:t>”</w:t>
      </w:r>
    </w:p>
    <w:p w14:paraId="555EA581" w14:textId="77777777" w:rsidR="00B95E28" w:rsidRPr="00B95E28" w:rsidRDefault="00B95E28" w:rsidP="00B95E28">
      <w:pPr>
        <w:pStyle w:val="ListParagraph"/>
        <w:rPr>
          <w:b/>
          <w:bCs/>
          <w:sz w:val="24"/>
          <w:szCs w:val="24"/>
        </w:rPr>
      </w:pPr>
    </w:p>
    <w:p w14:paraId="3F06E973" w14:textId="09DC31EE" w:rsidR="00793BB9" w:rsidRDefault="00793BB9" w:rsidP="00793BB9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Potential funding</w:t>
      </w:r>
      <w:r w:rsidR="00C06EC3">
        <w:rPr>
          <w:b/>
          <w:bCs/>
          <w:sz w:val="24"/>
          <w:szCs w:val="24"/>
        </w:rPr>
        <w:t xml:space="preserve"> (</w:t>
      </w:r>
      <w:proofErr w:type="gramStart"/>
      <w:r w:rsidR="00C06EC3">
        <w:rPr>
          <w:b/>
          <w:bCs/>
          <w:sz w:val="24"/>
          <w:szCs w:val="24"/>
        </w:rPr>
        <w:t>none available</w:t>
      </w:r>
      <w:proofErr w:type="gramEnd"/>
      <w:r w:rsidR="00C06EC3">
        <w:rPr>
          <w:b/>
          <w:bCs/>
          <w:sz w:val="24"/>
          <w:szCs w:val="24"/>
        </w:rPr>
        <w:t>)</w:t>
      </w:r>
    </w:p>
    <w:p w14:paraId="41018010" w14:textId="3CCA7C14" w:rsidR="00B95E28" w:rsidRPr="008105B8" w:rsidRDefault="00B95E28" w:rsidP="00793BB9">
      <w:pPr>
        <w:pStyle w:val="ListParagraph"/>
        <w:numPr>
          <w:ilvl w:val="1"/>
          <w:numId w:val="10"/>
        </w:numPr>
        <w:rPr>
          <w:b/>
          <w:bCs/>
          <w:sz w:val="24"/>
          <w:szCs w:val="24"/>
        </w:rPr>
      </w:pPr>
      <w:r w:rsidRPr="00793BB9">
        <w:rPr>
          <w:rFonts w:cstheme="minorHAnsi"/>
          <w:color w:val="222222"/>
          <w:sz w:val="24"/>
          <w:szCs w:val="24"/>
          <w:shd w:val="clear" w:color="auto" w:fill="FFFFFF"/>
        </w:rPr>
        <w:t xml:space="preserve">Ford Family Funding: contingent on 241 W. Main St and EDA commitment. Not available as of October 2023. </w:t>
      </w:r>
    </w:p>
    <w:p w14:paraId="39F7FD1F" w14:textId="77777777" w:rsidR="008105B8" w:rsidRPr="00793BB9" w:rsidRDefault="008105B8" w:rsidP="008105B8">
      <w:pPr>
        <w:pStyle w:val="ListParagraph"/>
        <w:ind w:left="1440"/>
        <w:rPr>
          <w:b/>
          <w:bCs/>
          <w:sz w:val="24"/>
          <w:szCs w:val="24"/>
        </w:rPr>
      </w:pPr>
    </w:p>
    <w:p w14:paraId="189F5262" w14:textId="2FD8A70C" w:rsidR="00793BB9" w:rsidRPr="008105B8" w:rsidRDefault="00B95E28" w:rsidP="008105B8">
      <w:pPr>
        <w:pStyle w:val="ListParagraph"/>
        <w:numPr>
          <w:ilvl w:val="1"/>
          <w:numId w:val="10"/>
        </w:numPr>
        <w:rPr>
          <w:b/>
          <w:bCs/>
          <w:sz w:val="24"/>
          <w:szCs w:val="24"/>
        </w:rPr>
      </w:pPr>
      <w:r w:rsidRPr="008105B8">
        <w:rPr>
          <w:rFonts w:cstheme="minorHAnsi"/>
          <w:color w:val="222222"/>
          <w:sz w:val="24"/>
          <w:szCs w:val="24"/>
          <w:shd w:val="clear" w:color="auto" w:fill="FFFFFF"/>
        </w:rPr>
        <w:t>Oregon Broadband Office funding</w:t>
      </w:r>
      <w:r w:rsidR="008105B8" w:rsidRPr="008105B8">
        <w:rPr>
          <w:rFonts w:cstheme="minorHAnsi"/>
          <w:color w:val="222222"/>
          <w:sz w:val="24"/>
          <w:szCs w:val="24"/>
          <w:shd w:val="clear" w:color="auto" w:fill="FFFFFF"/>
        </w:rPr>
        <w:t xml:space="preserve">: Applications not out yet. </w:t>
      </w:r>
    </w:p>
    <w:p w14:paraId="0DE6360B" w14:textId="77777777" w:rsidR="000B5782" w:rsidRPr="00793BB9" w:rsidRDefault="000B5782" w:rsidP="008105B8">
      <w:pPr>
        <w:pStyle w:val="ListParagraph"/>
        <w:ind w:left="2160"/>
        <w:rPr>
          <w:b/>
          <w:bCs/>
          <w:sz w:val="24"/>
          <w:szCs w:val="24"/>
        </w:rPr>
      </w:pPr>
    </w:p>
    <w:p w14:paraId="24814568" w14:textId="61CF97D6" w:rsidR="000B5782" w:rsidRPr="00B65348" w:rsidRDefault="00B95E28" w:rsidP="00324730">
      <w:pPr>
        <w:pStyle w:val="ListParagraph"/>
        <w:numPr>
          <w:ilvl w:val="1"/>
          <w:numId w:val="10"/>
        </w:numPr>
        <w:rPr>
          <w:b/>
          <w:bCs/>
          <w:sz w:val="24"/>
          <w:szCs w:val="24"/>
        </w:rPr>
      </w:pPr>
      <w:r w:rsidRPr="00793BB9">
        <w:rPr>
          <w:rFonts w:cstheme="minorHAnsi"/>
          <w:color w:val="222222"/>
          <w:sz w:val="24"/>
          <w:szCs w:val="24"/>
          <w:shd w:val="clear" w:color="auto" w:fill="FFFFFF"/>
        </w:rPr>
        <w:t xml:space="preserve">USDA BTAP Funding: </w:t>
      </w:r>
      <w:r w:rsidR="00324730">
        <w:rPr>
          <w:rFonts w:cstheme="minorHAnsi"/>
          <w:color w:val="222222"/>
          <w:sz w:val="24"/>
          <w:szCs w:val="24"/>
          <w:shd w:val="clear" w:color="auto" w:fill="FFFFFF"/>
        </w:rPr>
        <w:t>No application was submitted for June 2023 deadline.</w:t>
      </w:r>
    </w:p>
    <w:p w14:paraId="2A72591B" w14:textId="77777777" w:rsidR="00B65348" w:rsidRPr="00B65348" w:rsidRDefault="00B65348" w:rsidP="00B65348">
      <w:pPr>
        <w:pStyle w:val="ListParagraph"/>
        <w:rPr>
          <w:b/>
          <w:bCs/>
          <w:sz w:val="24"/>
          <w:szCs w:val="24"/>
        </w:rPr>
      </w:pPr>
    </w:p>
    <w:p w14:paraId="40772BB9" w14:textId="5EC6B27B" w:rsidR="00B65348" w:rsidRDefault="00B65348" w:rsidP="00B65348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Caveats of Any New Funding: </w:t>
      </w:r>
    </w:p>
    <w:p w14:paraId="03325503" w14:textId="6FF12F82" w:rsidR="00B65348" w:rsidRPr="00C06EC3" w:rsidRDefault="00C06EC3" w:rsidP="00AF37A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C06EC3">
        <w:rPr>
          <w:sz w:val="24"/>
          <w:szCs w:val="24"/>
        </w:rPr>
        <w:t xml:space="preserve">Even </w:t>
      </w:r>
      <w:r w:rsidRPr="00C06EC3">
        <w:rPr>
          <w:b/>
          <w:bCs/>
          <w:i/>
          <w:iCs/>
          <w:sz w:val="24"/>
          <w:szCs w:val="24"/>
          <w:u w:val="single"/>
        </w:rPr>
        <w:t>IF</w:t>
      </w:r>
      <w:r w:rsidRPr="00C06EC3">
        <w:rPr>
          <w:sz w:val="24"/>
          <w:szCs w:val="24"/>
        </w:rPr>
        <w:t xml:space="preserve"> new funding is received, the </w:t>
      </w:r>
      <w:r>
        <w:rPr>
          <w:sz w:val="24"/>
          <w:szCs w:val="24"/>
        </w:rPr>
        <w:t>l</w:t>
      </w:r>
      <w:r w:rsidR="00B65348" w:rsidRPr="00C06EC3">
        <w:rPr>
          <w:sz w:val="24"/>
          <w:szCs w:val="24"/>
        </w:rPr>
        <w:t xml:space="preserve">ikelihood of new funding paying for past costs is extremely low. Past costs are </w:t>
      </w:r>
      <w:r w:rsidR="00EE3A93">
        <w:rPr>
          <w:sz w:val="24"/>
          <w:szCs w:val="24"/>
        </w:rPr>
        <w:t xml:space="preserve">usually only allowable to the time of </w:t>
      </w:r>
      <w:proofErr w:type="gramStart"/>
      <w:r w:rsidR="00EE3A93">
        <w:rPr>
          <w:sz w:val="24"/>
          <w:szCs w:val="24"/>
        </w:rPr>
        <w:t>application, if</w:t>
      </w:r>
      <w:proofErr w:type="gramEnd"/>
      <w:r w:rsidR="00EE3A93">
        <w:rPr>
          <w:sz w:val="24"/>
          <w:szCs w:val="24"/>
        </w:rPr>
        <w:t xml:space="preserve"> that. Most grants</w:t>
      </w:r>
      <w:r w:rsidR="008105B8">
        <w:rPr>
          <w:sz w:val="24"/>
          <w:szCs w:val="24"/>
        </w:rPr>
        <w:t>’ eligibility</w:t>
      </w:r>
      <w:r w:rsidR="00EE3A93">
        <w:rPr>
          <w:sz w:val="24"/>
          <w:szCs w:val="24"/>
        </w:rPr>
        <w:t xml:space="preserve"> </w:t>
      </w:r>
      <w:proofErr w:type="gramStart"/>
      <w:r w:rsidR="00EE3A93">
        <w:rPr>
          <w:sz w:val="24"/>
          <w:szCs w:val="24"/>
        </w:rPr>
        <w:t>are</w:t>
      </w:r>
      <w:proofErr w:type="gramEnd"/>
      <w:r w:rsidR="00EE3A93">
        <w:rPr>
          <w:sz w:val="24"/>
          <w:szCs w:val="24"/>
        </w:rPr>
        <w:t xml:space="preserve"> from the time of award. EDA is rare in that way, that unique trait of EDA was removed from the contract. </w:t>
      </w:r>
    </w:p>
    <w:p w14:paraId="3565382E" w14:textId="52421289" w:rsidR="0033274B" w:rsidRPr="00CE25BC" w:rsidRDefault="009126AB" w:rsidP="003327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EDA </w:t>
      </w:r>
      <w:r w:rsidR="0033274B" w:rsidRPr="00CE25BC">
        <w:rPr>
          <w:b/>
          <w:bCs/>
          <w:sz w:val="28"/>
          <w:szCs w:val="28"/>
        </w:rPr>
        <w:t>Match Requirements</w:t>
      </w:r>
    </w:p>
    <w:p w14:paraId="4BC7A39C" w14:textId="7C5FC220" w:rsidR="00C738AC" w:rsidRDefault="00C738AC" w:rsidP="00012C5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E25BC">
        <w:rPr>
          <w:sz w:val="24"/>
          <w:szCs w:val="24"/>
        </w:rPr>
        <w:lastRenderedPageBreak/>
        <w:t xml:space="preserve">The City has committed $216,823 to this project as </w:t>
      </w:r>
      <w:proofErr w:type="gramStart"/>
      <w:r w:rsidRPr="00CE25BC">
        <w:rPr>
          <w:sz w:val="24"/>
          <w:szCs w:val="24"/>
        </w:rPr>
        <w:t>match</w:t>
      </w:r>
      <w:proofErr w:type="gramEnd"/>
      <w:r w:rsidRPr="00CE25BC">
        <w:rPr>
          <w:sz w:val="24"/>
          <w:szCs w:val="24"/>
        </w:rPr>
        <w:t xml:space="preserve">. </w:t>
      </w:r>
    </w:p>
    <w:p w14:paraId="15E5A3D2" w14:textId="77777777" w:rsidR="005941B8" w:rsidRDefault="005941B8" w:rsidP="005941B8">
      <w:pPr>
        <w:pStyle w:val="ListParagraph"/>
        <w:rPr>
          <w:sz w:val="24"/>
          <w:szCs w:val="24"/>
        </w:rPr>
      </w:pPr>
    </w:p>
    <w:p w14:paraId="2A0C8056" w14:textId="086AB4F3" w:rsidR="00CE25BC" w:rsidRDefault="00CE25BC" w:rsidP="00012C5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LS Networks, </w:t>
      </w:r>
      <w:r w:rsidR="00BA2363">
        <w:rPr>
          <w:sz w:val="24"/>
          <w:szCs w:val="24"/>
        </w:rPr>
        <w:t xml:space="preserve">Catalyst, building purchase are </w:t>
      </w:r>
      <w:r w:rsidR="004F6BF6">
        <w:rPr>
          <w:sz w:val="24"/>
          <w:szCs w:val="24"/>
        </w:rPr>
        <w:t xml:space="preserve">most </w:t>
      </w:r>
      <w:r w:rsidR="00BA2363">
        <w:rPr>
          <w:sz w:val="24"/>
          <w:szCs w:val="24"/>
        </w:rPr>
        <w:t xml:space="preserve">likely </w:t>
      </w:r>
      <w:r w:rsidR="00BA2363" w:rsidRPr="00DF2685">
        <w:rPr>
          <w:b/>
          <w:bCs/>
          <w:sz w:val="24"/>
          <w:szCs w:val="24"/>
        </w:rPr>
        <w:t>not</w:t>
      </w:r>
      <w:r w:rsidR="00BA2363">
        <w:rPr>
          <w:sz w:val="24"/>
          <w:szCs w:val="24"/>
        </w:rPr>
        <w:t xml:space="preserve"> eligible </w:t>
      </w:r>
      <w:r w:rsidR="004F6BF6">
        <w:rPr>
          <w:sz w:val="24"/>
          <w:szCs w:val="24"/>
        </w:rPr>
        <w:t xml:space="preserve">to </w:t>
      </w:r>
      <w:r w:rsidR="00BA2363">
        <w:rPr>
          <w:sz w:val="24"/>
          <w:szCs w:val="24"/>
        </w:rPr>
        <w:t xml:space="preserve">count towards the match. </w:t>
      </w:r>
    </w:p>
    <w:p w14:paraId="31F9DD34" w14:textId="77777777" w:rsidR="005941B8" w:rsidRPr="00A15FB4" w:rsidRDefault="005941B8" w:rsidP="00A15FB4">
      <w:pPr>
        <w:rPr>
          <w:sz w:val="24"/>
          <w:szCs w:val="24"/>
        </w:rPr>
      </w:pPr>
    </w:p>
    <w:p w14:paraId="3B57E00E" w14:textId="74C23498" w:rsidR="005941B8" w:rsidRDefault="001F4CC4" w:rsidP="005941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Any new funds secured </w:t>
      </w:r>
      <w:r w:rsidR="001D7609">
        <w:rPr>
          <w:sz w:val="24"/>
          <w:szCs w:val="24"/>
        </w:rPr>
        <w:t xml:space="preserve">can be used as the EDA project </w:t>
      </w:r>
      <w:proofErr w:type="gramStart"/>
      <w:r w:rsidR="001D7609">
        <w:rPr>
          <w:sz w:val="24"/>
          <w:szCs w:val="24"/>
        </w:rPr>
        <w:t>match, but</w:t>
      </w:r>
      <w:proofErr w:type="gramEnd"/>
      <w:r w:rsidR="001D7609">
        <w:rPr>
          <w:sz w:val="24"/>
          <w:szCs w:val="24"/>
        </w:rPr>
        <w:t xml:space="preserve"> will likely not </w:t>
      </w:r>
      <w:proofErr w:type="gramStart"/>
      <w:r w:rsidR="001D7609">
        <w:rPr>
          <w:sz w:val="24"/>
          <w:szCs w:val="24"/>
        </w:rPr>
        <w:t>fill</w:t>
      </w:r>
      <w:proofErr w:type="gramEnd"/>
      <w:r w:rsidR="001D7609">
        <w:rPr>
          <w:sz w:val="24"/>
          <w:szCs w:val="24"/>
        </w:rPr>
        <w:t xml:space="preserve"> past expenses. </w:t>
      </w:r>
      <w:r w:rsidR="00DF2685">
        <w:rPr>
          <w:sz w:val="24"/>
          <w:szCs w:val="24"/>
        </w:rPr>
        <w:t xml:space="preserve">Grants don’t typically pay for costs prior to application date. </w:t>
      </w:r>
    </w:p>
    <w:p w14:paraId="413D3D7F" w14:textId="290B2C0F" w:rsidR="009126AB" w:rsidRPr="009F6F85" w:rsidRDefault="009126AB" w:rsidP="009F6F85">
      <w:pPr>
        <w:rPr>
          <w:b/>
          <w:bCs/>
          <w:sz w:val="28"/>
          <w:szCs w:val="28"/>
        </w:rPr>
      </w:pPr>
      <w:r w:rsidRPr="009F6F85">
        <w:rPr>
          <w:b/>
          <w:bCs/>
          <w:sz w:val="28"/>
          <w:szCs w:val="28"/>
        </w:rPr>
        <w:t xml:space="preserve">Total funding gap </w:t>
      </w:r>
      <w:r w:rsidR="000739AA" w:rsidRPr="009F6F85">
        <w:rPr>
          <w:b/>
          <w:bCs/>
          <w:sz w:val="28"/>
          <w:szCs w:val="28"/>
        </w:rPr>
        <w:t>to complete the EDA project</w:t>
      </w:r>
      <w:r w:rsidR="009F6F85">
        <w:rPr>
          <w:b/>
          <w:bCs/>
          <w:sz w:val="28"/>
          <w:szCs w:val="28"/>
        </w:rPr>
        <w:t xml:space="preserve"> &amp; incurred costs to date</w:t>
      </w:r>
      <w:r w:rsidRPr="009F6F85">
        <w:rPr>
          <w:b/>
          <w:bCs/>
          <w:sz w:val="28"/>
          <w:szCs w:val="28"/>
        </w:rPr>
        <w:t xml:space="preserve">: </w:t>
      </w:r>
    </w:p>
    <w:p w14:paraId="71A4D528" w14:textId="761A8316" w:rsidR="00693ADA" w:rsidRDefault="00693ADA" w:rsidP="00693AD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Non reimbursable expenses</w:t>
      </w:r>
      <w:r w:rsidR="00AA0E1B">
        <w:rPr>
          <w:sz w:val="24"/>
          <w:szCs w:val="24"/>
        </w:rPr>
        <w:t xml:space="preserve"> (removed from total EDA project)</w:t>
      </w:r>
      <w:r>
        <w:rPr>
          <w:sz w:val="24"/>
          <w:szCs w:val="24"/>
        </w:rPr>
        <w:t xml:space="preserve">: </w:t>
      </w:r>
    </w:p>
    <w:p w14:paraId="6B9B10B6" w14:textId="4BF0D83F" w:rsidR="00693ADA" w:rsidRDefault="00693ADA" w:rsidP="00693ADA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$103,794.75 in Pre-Agreement Costs (incl building purchase)</w:t>
      </w:r>
    </w:p>
    <w:p w14:paraId="36DD040A" w14:textId="77777777" w:rsidR="00693ADA" w:rsidRDefault="00693ADA" w:rsidP="00693ADA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$UNKNOWN (at least $20k): all LS Networks </w:t>
      </w:r>
    </w:p>
    <w:p w14:paraId="718167C3" w14:textId="7B74FA56" w:rsidR="00123F50" w:rsidRDefault="00123F50" w:rsidP="00693ADA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$20-33,000: Catalyst </w:t>
      </w:r>
    </w:p>
    <w:p w14:paraId="00B9882E" w14:textId="77777777" w:rsidR="00AA0E1B" w:rsidRDefault="00AA0E1B" w:rsidP="00AA0E1B">
      <w:pPr>
        <w:pStyle w:val="ListParagraph"/>
        <w:ind w:left="1440"/>
        <w:rPr>
          <w:sz w:val="24"/>
          <w:szCs w:val="24"/>
        </w:rPr>
      </w:pPr>
    </w:p>
    <w:p w14:paraId="0CE4FDAC" w14:textId="77777777" w:rsidR="00693ADA" w:rsidRDefault="00693ADA" w:rsidP="00693AD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$216,823 – EDA Match </w:t>
      </w:r>
    </w:p>
    <w:p w14:paraId="6A4134E3" w14:textId="56BC99D2" w:rsidR="00596565" w:rsidRDefault="00596565" w:rsidP="00D21EE3">
      <w:pPr>
        <w:rPr>
          <w:sz w:val="24"/>
          <w:szCs w:val="24"/>
        </w:rPr>
      </w:pPr>
      <w:r w:rsidRPr="00D21EE3">
        <w:rPr>
          <w:sz w:val="24"/>
          <w:szCs w:val="24"/>
          <w:u w:val="single"/>
        </w:rPr>
        <w:t xml:space="preserve">TOTAL: </w:t>
      </w:r>
      <w:r w:rsidR="00197687" w:rsidRPr="00D21EE3">
        <w:rPr>
          <w:sz w:val="24"/>
          <w:szCs w:val="24"/>
          <w:u w:val="single"/>
        </w:rPr>
        <w:t>$360,000-$420,000</w:t>
      </w:r>
    </w:p>
    <w:p w14:paraId="3CC9140A" w14:textId="55EF2780" w:rsidR="00D21EE3" w:rsidRPr="00D21EE3" w:rsidRDefault="00D21EE3" w:rsidP="00D21EE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Any new grants would be applied to</w:t>
      </w:r>
      <w:r w:rsidR="001E4C95">
        <w:rPr>
          <w:sz w:val="24"/>
          <w:szCs w:val="24"/>
        </w:rPr>
        <w:t xml:space="preserve"> the $216,823 EDA </w:t>
      </w:r>
      <w:proofErr w:type="gramStart"/>
      <w:r w:rsidR="001E4C95">
        <w:rPr>
          <w:sz w:val="24"/>
          <w:szCs w:val="24"/>
        </w:rPr>
        <w:t>match, but</w:t>
      </w:r>
      <w:proofErr w:type="gramEnd"/>
      <w:r w:rsidR="001E4C95">
        <w:rPr>
          <w:sz w:val="24"/>
          <w:szCs w:val="24"/>
        </w:rPr>
        <w:t xml:space="preserve"> will not reimburse the $150,000-</w:t>
      </w:r>
      <w:r w:rsidR="008E71CF">
        <w:rPr>
          <w:sz w:val="24"/>
          <w:szCs w:val="24"/>
        </w:rPr>
        <w:t xml:space="preserve">200,000 spent to date on administrative, legal, and engineering costs. </w:t>
      </w:r>
    </w:p>
    <w:p w14:paraId="4EBF5C8C" w14:textId="03B9E360" w:rsidR="005941B8" w:rsidRPr="005941B8" w:rsidRDefault="005941B8" w:rsidP="005941B8">
      <w:pPr>
        <w:rPr>
          <w:b/>
          <w:bCs/>
          <w:sz w:val="28"/>
          <w:szCs w:val="28"/>
        </w:rPr>
      </w:pPr>
      <w:r w:rsidRPr="005941B8">
        <w:rPr>
          <w:b/>
          <w:bCs/>
          <w:sz w:val="28"/>
          <w:szCs w:val="28"/>
        </w:rPr>
        <w:t xml:space="preserve">Remaining </w:t>
      </w:r>
      <w:r w:rsidR="00D21EE3">
        <w:rPr>
          <w:b/>
          <w:bCs/>
          <w:sz w:val="28"/>
          <w:szCs w:val="28"/>
        </w:rPr>
        <w:t>Questions from EDA:</w:t>
      </w:r>
    </w:p>
    <w:p w14:paraId="0082F80C" w14:textId="199377CB" w:rsidR="005941B8" w:rsidRPr="005941B8" w:rsidRDefault="005941B8" w:rsidP="005941B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Does John Day want the 241 W. Main building and to sponsor that project? </w:t>
      </w:r>
    </w:p>
    <w:p w14:paraId="5099184F" w14:textId="31A59331" w:rsidR="005941B8" w:rsidRDefault="009126AB" w:rsidP="009126A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Who will manage the fiber utility? </w:t>
      </w:r>
    </w:p>
    <w:p w14:paraId="73C78734" w14:textId="77777777" w:rsidR="007975A0" w:rsidRPr="007975A0" w:rsidRDefault="007975A0" w:rsidP="007975A0">
      <w:pPr>
        <w:rPr>
          <w:sz w:val="24"/>
          <w:szCs w:val="24"/>
        </w:rPr>
      </w:pPr>
    </w:p>
    <w:sectPr w:rsidR="007975A0" w:rsidRPr="007975A0" w:rsidSect="00361516">
      <w:footerReference w:type="default" r:id="rId7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1451" w14:textId="77777777" w:rsidR="003F3733" w:rsidRDefault="003F3733" w:rsidP="008105B8">
      <w:pPr>
        <w:spacing w:after="0" w:line="240" w:lineRule="auto"/>
      </w:pPr>
      <w:r>
        <w:separator/>
      </w:r>
    </w:p>
  </w:endnote>
  <w:endnote w:type="continuationSeparator" w:id="0">
    <w:p w14:paraId="683BC2BD" w14:textId="77777777" w:rsidR="003F3733" w:rsidRDefault="003F3733" w:rsidP="0081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889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98417" w14:textId="31C299A3" w:rsidR="008105B8" w:rsidRDefault="008105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E71369" w14:textId="77777777" w:rsidR="008105B8" w:rsidRDefault="00810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66D1" w14:textId="77777777" w:rsidR="003F3733" w:rsidRDefault="003F3733" w:rsidP="008105B8">
      <w:pPr>
        <w:spacing w:after="0" w:line="240" w:lineRule="auto"/>
      </w:pPr>
      <w:r>
        <w:separator/>
      </w:r>
    </w:p>
  </w:footnote>
  <w:footnote w:type="continuationSeparator" w:id="0">
    <w:p w14:paraId="3EE58388" w14:textId="77777777" w:rsidR="003F3733" w:rsidRDefault="003F3733" w:rsidP="00810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382"/>
    <w:multiLevelType w:val="hybridMultilevel"/>
    <w:tmpl w:val="842C2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9500B"/>
    <w:multiLevelType w:val="hybridMultilevel"/>
    <w:tmpl w:val="8780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C0AC7"/>
    <w:multiLevelType w:val="hybridMultilevel"/>
    <w:tmpl w:val="277A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B3065"/>
    <w:multiLevelType w:val="hybridMultilevel"/>
    <w:tmpl w:val="A08A5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C21B0"/>
    <w:multiLevelType w:val="hybridMultilevel"/>
    <w:tmpl w:val="04CE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3027"/>
    <w:multiLevelType w:val="hybridMultilevel"/>
    <w:tmpl w:val="66F0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40220"/>
    <w:multiLevelType w:val="hybridMultilevel"/>
    <w:tmpl w:val="48D23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0B98"/>
    <w:multiLevelType w:val="multilevel"/>
    <w:tmpl w:val="F246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8640E50"/>
    <w:multiLevelType w:val="hybridMultilevel"/>
    <w:tmpl w:val="A342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A2BA0"/>
    <w:multiLevelType w:val="multilevel"/>
    <w:tmpl w:val="064005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0F95E6A"/>
    <w:multiLevelType w:val="hybridMultilevel"/>
    <w:tmpl w:val="ED20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1407A"/>
    <w:multiLevelType w:val="hybridMultilevel"/>
    <w:tmpl w:val="75001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EA2D22"/>
    <w:multiLevelType w:val="hybridMultilevel"/>
    <w:tmpl w:val="B41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17F2B"/>
    <w:multiLevelType w:val="hybridMultilevel"/>
    <w:tmpl w:val="AE92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D5F11"/>
    <w:multiLevelType w:val="hybridMultilevel"/>
    <w:tmpl w:val="A6B8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835626">
    <w:abstractNumId w:val="9"/>
  </w:num>
  <w:num w:numId="2" w16cid:durableId="1881354082">
    <w:abstractNumId w:val="7"/>
  </w:num>
  <w:num w:numId="3" w16cid:durableId="980229915">
    <w:abstractNumId w:val="1"/>
  </w:num>
  <w:num w:numId="4" w16cid:durableId="1427845679">
    <w:abstractNumId w:val="13"/>
  </w:num>
  <w:num w:numId="5" w16cid:durableId="339356011">
    <w:abstractNumId w:val="8"/>
  </w:num>
  <w:num w:numId="6" w16cid:durableId="22557461">
    <w:abstractNumId w:val="14"/>
  </w:num>
  <w:num w:numId="7" w16cid:durableId="44527724">
    <w:abstractNumId w:val="10"/>
  </w:num>
  <w:num w:numId="8" w16cid:durableId="1333293177">
    <w:abstractNumId w:val="0"/>
  </w:num>
  <w:num w:numId="9" w16cid:durableId="1048183688">
    <w:abstractNumId w:val="6"/>
  </w:num>
  <w:num w:numId="10" w16cid:durableId="247740613">
    <w:abstractNumId w:val="5"/>
  </w:num>
  <w:num w:numId="11" w16cid:durableId="1511986250">
    <w:abstractNumId w:val="2"/>
  </w:num>
  <w:num w:numId="12" w16cid:durableId="1584028083">
    <w:abstractNumId w:val="11"/>
  </w:num>
  <w:num w:numId="13" w16cid:durableId="1160122312">
    <w:abstractNumId w:val="3"/>
  </w:num>
  <w:num w:numId="14" w16cid:durableId="451486864">
    <w:abstractNumId w:val="12"/>
  </w:num>
  <w:num w:numId="15" w16cid:durableId="493182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08"/>
    <w:rsid w:val="000739AA"/>
    <w:rsid w:val="000A50E8"/>
    <w:rsid w:val="000A6DE2"/>
    <w:rsid w:val="000B5782"/>
    <w:rsid w:val="00123F50"/>
    <w:rsid w:val="00135572"/>
    <w:rsid w:val="00195A77"/>
    <w:rsid w:val="00197687"/>
    <w:rsid w:val="001A7EFA"/>
    <w:rsid w:val="001D7609"/>
    <w:rsid w:val="001E4C95"/>
    <w:rsid w:val="001F4CC4"/>
    <w:rsid w:val="0020456A"/>
    <w:rsid w:val="00222808"/>
    <w:rsid w:val="00223A5E"/>
    <w:rsid w:val="00225883"/>
    <w:rsid w:val="00234608"/>
    <w:rsid w:val="00264F94"/>
    <w:rsid w:val="0027029F"/>
    <w:rsid w:val="002936D4"/>
    <w:rsid w:val="002E26F6"/>
    <w:rsid w:val="00324730"/>
    <w:rsid w:val="0033274B"/>
    <w:rsid w:val="00342CDB"/>
    <w:rsid w:val="0034484A"/>
    <w:rsid w:val="0035667B"/>
    <w:rsid w:val="00361516"/>
    <w:rsid w:val="00377044"/>
    <w:rsid w:val="003C12D5"/>
    <w:rsid w:val="003F3733"/>
    <w:rsid w:val="004127B3"/>
    <w:rsid w:val="004F6BF6"/>
    <w:rsid w:val="00551A0A"/>
    <w:rsid w:val="005941B8"/>
    <w:rsid w:val="00596565"/>
    <w:rsid w:val="005C72A8"/>
    <w:rsid w:val="005F0CA6"/>
    <w:rsid w:val="006246D7"/>
    <w:rsid w:val="00647C4A"/>
    <w:rsid w:val="00693ADA"/>
    <w:rsid w:val="006D77BF"/>
    <w:rsid w:val="006F1054"/>
    <w:rsid w:val="00705F96"/>
    <w:rsid w:val="00765E94"/>
    <w:rsid w:val="00793BB9"/>
    <w:rsid w:val="007975A0"/>
    <w:rsid w:val="007F5BA0"/>
    <w:rsid w:val="008105B8"/>
    <w:rsid w:val="00814DFB"/>
    <w:rsid w:val="0083198C"/>
    <w:rsid w:val="00861214"/>
    <w:rsid w:val="00892174"/>
    <w:rsid w:val="00895650"/>
    <w:rsid w:val="008A262D"/>
    <w:rsid w:val="008E71CF"/>
    <w:rsid w:val="009126AB"/>
    <w:rsid w:val="009952DA"/>
    <w:rsid w:val="009B393F"/>
    <w:rsid w:val="009B712D"/>
    <w:rsid w:val="009D5870"/>
    <w:rsid w:val="009E2B2F"/>
    <w:rsid w:val="009F6F85"/>
    <w:rsid w:val="00A10AF7"/>
    <w:rsid w:val="00A134C0"/>
    <w:rsid w:val="00A15FB4"/>
    <w:rsid w:val="00A17FA3"/>
    <w:rsid w:val="00A2093A"/>
    <w:rsid w:val="00A76953"/>
    <w:rsid w:val="00AA05EC"/>
    <w:rsid w:val="00AA0E1B"/>
    <w:rsid w:val="00B21FE8"/>
    <w:rsid w:val="00B53749"/>
    <w:rsid w:val="00B65348"/>
    <w:rsid w:val="00B95E28"/>
    <w:rsid w:val="00BA2363"/>
    <w:rsid w:val="00C06EC3"/>
    <w:rsid w:val="00C22681"/>
    <w:rsid w:val="00C738AC"/>
    <w:rsid w:val="00C85316"/>
    <w:rsid w:val="00CE25BC"/>
    <w:rsid w:val="00CF23D2"/>
    <w:rsid w:val="00D21EE3"/>
    <w:rsid w:val="00D32B2B"/>
    <w:rsid w:val="00DF2685"/>
    <w:rsid w:val="00E031C5"/>
    <w:rsid w:val="00E0491B"/>
    <w:rsid w:val="00E75F25"/>
    <w:rsid w:val="00EB65C4"/>
    <w:rsid w:val="00EE3A93"/>
    <w:rsid w:val="00F11B0D"/>
    <w:rsid w:val="00F25D88"/>
    <w:rsid w:val="00F611DD"/>
    <w:rsid w:val="00FB4A89"/>
    <w:rsid w:val="00FC5F36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D6C95"/>
  <w15:chartTrackingRefBased/>
  <w15:docId w15:val="{98E1ECD8-64BE-4BD2-A07C-922AD816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650"/>
  </w:style>
  <w:style w:type="paragraph" w:styleId="Heading1">
    <w:name w:val="heading 1"/>
    <w:basedOn w:val="Normal"/>
    <w:next w:val="Normal"/>
    <w:link w:val="Heading1Char"/>
    <w:uiPriority w:val="9"/>
    <w:qFormat/>
    <w:rsid w:val="008956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95650"/>
    <w:pPr>
      <w:numPr>
        <w:ilvl w:val="1"/>
        <w:numId w:val="2"/>
      </w:numPr>
      <w:spacing w:before="120"/>
      <w:ind w:hanging="360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5650"/>
    <w:rPr>
      <w:rFonts w:ascii="Calibri Light" w:eastAsia="Times New Roman" w:hAnsi="Calibri Light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rsid w:val="00895650"/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8956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5B8"/>
  </w:style>
  <w:style w:type="paragraph" w:styleId="Footer">
    <w:name w:val="footer"/>
    <w:basedOn w:val="Normal"/>
    <w:link w:val="FooterChar"/>
    <w:uiPriority w:val="99"/>
    <w:unhideWhenUsed/>
    <w:rsid w:val="0081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Ducote</dc:creator>
  <cp:keywords/>
  <dc:description/>
  <cp:lastModifiedBy>Nick Ducote</cp:lastModifiedBy>
  <cp:revision>69</cp:revision>
  <dcterms:created xsi:type="dcterms:W3CDTF">2023-10-31T20:40:00Z</dcterms:created>
  <dcterms:modified xsi:type="dcterms:W3CDTF">2023-11-02T02:40:00Z</dcterms:modified>
</cp:coreProperties>
</file>