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6562C" w14:textId="4FF38A9E" w:rsidR="003C4961" w:rsidRPr="002B0413" w:rsidRDefault="002B0413" w:rsidP="00362C50">
      <w:pPr>
        <w:pStyle w:val="Title"/>
        <w:spacing w:after="120"/>
        <w:contextualSpacing w:val="0"/>
        <w:jc w:val="center"/>
        <w:rPr>
          <w:b/>
          <w:bCs/>
          <w:sz w:val="32"/>
          <w:szCs w:val="32"/>
        </w:rPr>
      </w:pPr>
      <w:r>
        <w:rPr>
          <w:b/>
          <w:bCs/>
          <w:sz w:val="32"/>
          <w:szCs w:val="32"/>
        </w:rPr>
        <w:t xml:space="preserve">John Day Sewer Improvements – July 2023 Council Progress Report </w:t>
      </w:r>
    </w:p>
    <w:p w14:paraId="6F01948E" w14:textId="4424F9EE" w:rsidR="00A57E72" w:rsidRDefault="00F036ED" w:rsidP="003A3B17">
      <w:pPr>
        <w:spacing w:after="120" w:line="240" w:lineRule="auto"/>
      </w:pPr>
      <w:r>
        <w:rPr>
          <w:noProof/>
        </w:rPr>
        <w:drawing>
          <wp:anchor distT="0" distB="0" distL="114300" distR="114300" simplePos="0" relativeHeight="251658240" behindDoc="1" locked="0" layoutInCell="1" allowOverlap="1" wp14:anchorId="4CBC0291" wp14:editId="2E196506">
            <wp:simplePos x="0" y="0"/>
            <wp:positionH relativeFrom="column">
              <wp:posOffset>4259580</wp:posOffset>
            </wp:positionH>
            <wp:positionV relativeFrom="paragraph">
              <wp:posOffset>34925</wp:posOffset>
            </wp:positionV>
            <wp:extent cx="1649095" cy="3902075"/>
            <wp:effectExtent l="0" t="0" r="8255" b="3175"/>
            <wp:wrapTight wrapText="bothSides">
              <wp:wrapPolygon edited="0">
                <wp:start x="0" y="0"/>
                <wp:lineTo x="0" y="21512"/>
                <wp:lineTo x="21459" y="21512"/>
                <wp:lineTo x="21459" y="0"/>
                <wp:lineTo x="0" y="0"/>
              </wp:wrapPolygon>
            </wp:wrapTight>
            <wp:docPr id="5" name="Picture 4">
              <a:extLst xmlns:a="http://schemas.openxmlformats.org/drawingml/2006/main">
                <a:ext uri="{FF2B5EF4-FFF2-40B4-BE49-F238E27FC236}">
                  <a16:creationId xmlns:a16="http://schemas.microsoft.com/office/drawing/2014/main" id="{B732A0C8-5832-7D80-32A5-48B5D739E6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732A0C8-5832-7D80-32A5-48B5D739E6F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9095" cy="39020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C30BE">
        <w:t xml:space="preserve">John Day’s Sewer Improvements </w:t>
      </w:r>
      <w:r w:rsidR="007C54B2">
        <w:t xml:space="preserve">Project </w:t>
      </w:r>
      <w:r w:rsidR="002C122A">
        <w:t xml:space="preserve">has </w:t>
      </w:r>
      <w:r w:rsidR="007C54B2">
        <w:t>six</w:t>
      </w:r>
      <w:r w:rsidR="002C122A">
        <w:t xml:space="preserve"> primary track</w:t>
      </w:r>
      <w:r w:rsidR="00BC30BE">
        <w:t>s</w:t>
      </w:r>
      <w:r w:rsidR="002C122A">
        <w:t xml:space="preserve"> that are the focus of our efforts. </w:t>
      </w:r>
    </w:p>
    <w:p w14:paraId="71ED5C13" w14:textId="344567F5" w:rsidR="00A57E72" w:rsidRDefault="00A57E72" w:rsidP="00223FE5">
      <w:pPr>
        <w:pStyle w:val="ListParagraph"/>
        <w:numPr>
          <w:ilvl w:val="0"/>
          <w:numId w:val="3"/>
        </w:numPr>
        <w:spacing w:after="0" w:line="240" w:lineRule="auto"/>
        <w:contextualSpacing w:val="0"/>
      </w:pPr>
      <w:r>
        <w:t>Section 7/Environmental</w:t>
      </w:r>
      <w:r w:rsidR="0075741B">
        <w:t xml:space="preserve"> Compliance</w:t>
      </w:r>
    </w:p>
    <w:p w14:paraId="07520145" w14:textId="0312C6F7" w:rsidR="007C54B2" w:rsidRDefault="007C54B2" w:rsidP="007C54B2">
      <w:pPr>
        <w:pStyle w:val="ListParagraph"/>
        <w:numPr>
          <w:ilvl w:val="0"/>
          <w:numId w:val="3"/>
        </w:numPr>
        <w:spacing w:after="0" w:line="240" w:lineRule="auto"/>
        <w:contextualSpacing w:val="0"/>
      </w:pPr>
      <w:r>
        <w:t>USDA and Other Funding Applications</w:t>
      </w:r>
    </w:p>
    <w:p w14:paraId="39F235E5" w14:textId="2BD52535" w:rsidR="00A57E72" w:rsidRDefault="00A57E72" w:rsidP="00223FE5">
      <w:pPr>
        <w:pStyle w:val="ListParagraph"/>
        <w:numPr>
          <w:ilvl w:val="0"/>
          <w:numId w:val="3"/>
        </w:numPr>
        <w:spacing w:after="0" w:line="240" w:lineRule="auto"/>
        <w:contextualSpacing w:val="0"/>
      </w:pPr>
      <w:r>
        <w:t>DEQ Permitting</w:t>
      </w:r>
      <w:r w:rsidR="0075741B">
        <w:t xml:space="preserve"> Compliance</w:t>
      </w:r>
    </w:p>
    <w:p w14:paraId="0F66F992" w14:textId="14F4164E" w:rsidR="007C54B2" w:rsidRDefault="007C54B2" w:rsidP="007C54B2">
      <w:pPr>
        <w:pStyle w:val="ListParagraph"/>
        <w:numPr>
          <w:ilvl w:val="0"/>
          <w:numId w:val="3"/>
        </w:numPr>
        <w:spacing w:after="0" w:line="240" w:lineRule="auto"/>
        <w:contextualSpacing w:val="0"/>
      </w:pPr>
      <w:r>
        <w:t>Preliminary Site Preparation for Companion Projects</w:t>
      </w:r>
    </w:p>
    <w:p w14:paraId="4768A712" w14:textId="436FC985" w:rsidR="00A57E72" w:rsidRDefault="00A57E72" w:rsidP="00223FE5">
      <w:pPr>
        <w:pStyle w:val="ListParagraph"/>
        <w:numPr>
          <w:ilvl w:val="0"/>
          <w:numId w:val="3"/>
        </w:numPr>
        <w:spacing w:after="0" w:line="240" w:lineRule="auto"/>
        <w:contextualSpacing w:val="0"/>
      </w:pPr>
      <w:r>
        <w:t>Progressive Design/Build Procurement Document</w:t>
      </w:r>
    </w:p>
    <w:p w14:paraId="301C6EFE" w14:textId="3ABD7C86" w:rsidR="0075741B" w:rsidRDefault="0075741B" w:rsidP="00223FE5">
      <w:pPr>
        <w:pStyle w:val="ListParagraph"/>
        <w:numPr>
          <w:ilvl w:val="0"/>
          <w:numId w:val="3"/>
        </w:numPr>
        <w:spacing w:after="0" w:line="240" w:lineRule="auto"/>
        <w:contextualSpacing w:val="0"/>
      </w:pPr>
      <w:r>
        <w:t>Community Engagement and Outreach</w:t>
      </w:r>
    </w:p>
    <w:p w14:paraId="5E229B1B" w14:textId="77777777" w:rsidR="00223FE5" w:rsidRDefault="00223FE5" w:rsidP="00223FE5">
      <w:pPr>
        <w:pStyle w:val="ListParagraph"/>
        <w:spacing w:after="0" w:line="240" w:lineRule="auto"/>
        <w:contextualSpacing w:val="0"/>
      </w:pPr>
    </w:p>
    <w:p w14:paraId="38B5D9E0" w14:textId="2A6553C8" w:rsidR="007C54B2" w:rsidRDefault="0025516F" w:rsidP="00B82A9A">
      <w:r>
        <w:t>This memo provides a progress summary for all six tracks</w:t>
      </w:r>
      <w:r w:rsidR="004E7F4F">
        <w:t xml:space="preserve"> </w:t>
      </w:r>
      <w:r w:rsidR="00E73F65">
        <w:t xml:space="preserve">for </w:t>
      </w:r>
      <w:r w:rsidR="004E7F4F">
        <w:t>June</w:t>
      </w:r>
      <w:r w:rsidR="00E73F65">
        <w:t xml:space="preserve"> and early-July</w:t>
      </w:r>
      <w:r w:rsidR="004E7F4F">
        <w:t xml:space="preserve"> 2023</w:t>
      </w:r>
      <w:r>
        <w:t xml:space="preserve">. </w:t>
      </w:r>
      <w:r w:rsidR="007C54B2">
        <w:t xml:space="preserve">Our top priorities </w:t>
      </w:r>
      <w:r>
        <w:t xml:space="preserve">currently </w:t>
      </w:r>
      <w:r w:rsidR="007C54B2">
        <w:t>are</w:t>
      </w:r>
      <w:r>
        <w:t xml:space="preserve"> Task 1) </w:t>
      </w:r>
      <w:r w:rsidR="007C54B2">
        <w:t>environmental compliance and</w:t>
      </w:r>
      <w:r>
        <w:t xml:space="preserve"> Task 2)</w:t>
      </w:r>
      <w:r w:rsidR="007C54B2">
        <w:t xml:space="preserve"> completing the </w:t>
      </w:r>
      <w:r>
        <w:t xml:space="preserve">funding </w:t>
      </w:r>
      <w:r w:rsidR="007C54B2">
        <w:t>application(s).</w:t>
      </w:r>
    </w:p>
    <w:p w14:paraId="5A2C62ED" w14:textId="35FFD6EE" w:rsidR="008106FE" w:rsidRPr="00F35E10" w:rsidRDefault="008106FE" w:rsidP="00F35E10">
      <w:pPr>
        <w:pStyle w:val="NoSpacing"/>
        <w:rPr>
          <w:b/>
          <w:bCs/>
        </w:rPr>
      </w:pPr>
      <w:r w:rsidRPr="00F35E10">
        <w:rPr>
          <w:b/>
          <w:bCs/>
        </w:rPr>
        <w:t xml:space="preserve">High notes: </w:t>
      </w:r>
    </w:p>
    <w:p w14:paraId="1B23C06F" w14:textId="72FD694B" w:rsidR="00614922" w:rsidRDefault="008106FE" w:rsidP="00251BBF">
      <w:pPr>
        <w:pStyle w:val="NoSpacing"/>
        <w:numPr>
          <w:ilvl w:val="0"/>
          <w:numId w:val="31"/>
        </w:numPr>
        <w:spacing w:after="80"/>
      </w:pPr>
      <w:r>
        <w:t xml:space="preserve">Draft Biological Assessment and City’s Proposed Water Quality Mitigation Monitoring Plan are nearing completion. </w:t>
      </w:r>
    </w:p>
    <w:p w14:paraId="26BBA566" w14:textId="7EF8E741" w:rsidR="007C36AD" w:rsidRDefault="007C36AD" w:rsidP="00251BBF">
      <w:pPr>
        <w:pStyle w:val="NoSpacing"/>
        <w:numPr>
          <w:ilvl w:val="1"/>
          <w:numId w:val="31"/>
        </w:numPr>
        <w:spacing w:after="80"/>
      </w:pPr>
      <w:r>
        <w:t>Petroleum monitoring still a potential sticking point</w:t>
      </w:r>
    </w:p>
    <w:p w14:paraId="785FA6A7" w14:textId="5923C15A" w:rsidR="00614922" w:rsidRDefault="00614922" w:rsidP="00251BBF">
      <w:pPr>
        <w:pStyle w:val="NoSpacing"/>
        <w:numPr>
          <w:ilvl w:val="0"/>
          <w:numId w:val="31"/>
        </w:numPr>
        <w:spacing w:after="80"/>
      </w:pPr>
      <w:r>
        <w:t xml:space="preserve">Purple Pipe Final Design contract executed with HECO Engineers. </w:t>
      </w:r>
      <w:r w:rsidR="008106FE">
        <w:t xml:space="preserve"> </w:t>
      </w:r>
    </w:p>
    <w:p w14:paraId="47147F2C" w14:textId="776410C1" w:rsidR="00614922" w:rsidRDefault="00614922" w:rsidP="00251BBF">
      <w:pPr>
        <w:pStyle w:val="NoSpacing"/>
        <w:numPr>
          <w:ilvl w:val="0"/>
          <w:numId w:val="31"/>
        </w:numPr>
        <w:spacing w:after="80"/>
      </w:pPr>
      <w:r w:rsidRPr="00E73F65">
        <w:t xml:space="preserve">Purple Pipe Extension Request submitted for +12 months (expiring 12/31/23). </w:t>
      </w:r>
    </w:p>
    <w:p w14:paraId="08B9608C" w14:textId="63728772" w:rsidR="00C1768B" w:rsidRPr="00E73F65" w:rsidRDefault="00C1768B" w:rsidP="00251BBF">
      <w:pPr>
        <w:pStyle w:val="NoSpacing"/>
        <w:numPr>
          <w:ilvl w:val="0"/>
          <w:numId w:val="31"/>
        </w:numPr>
        <w:spacing w:after="80"/>
      </w:pPr>
      <w:r>
        <w:t>Solar array engineering contract under review and in negotiation.</w:t>
      </w:r>
    </w:p>
    <w:p w14:paraId="220A6257" w14:textId="0D457C09" w:rsidR="00DC1BDB" w:rsidRPr="0075437B" w:rsidRDefault="0075437B" w:rsidP="00B82A9A">
      <w:pPr>
        <w:rPr>
          <w:b/>
          <w:bCs/>
        </w:rPr>
      </w:pPr>
      <w:r w:rsidRPr="0075437B">
        <w:rPr>
          <w:b/>
          <w:bCs/>
        </w:rPr>
        <w:t>Task Overview</w:t>
      </w:r>
      <w:r>
        <w:rPr>
          <w:b/>
          <w:bCs/>
        </w:rPr>
        <w:t xml:space="preserve"> Schedule and Timeline</w:t>
      </w:r>
      <w:r w:rsidRPr="0075437B">
        <w:rPr>
          <w:b/>
          <w:bCs/>
        </w:rPr>
        <w:t>:</w:t>
      </w:r>
    </w:p>
    <w:tbl>
      <w:tblPr>
        <w:tblW w:w="9359" w:type="dxa"/>
        <w:tblLook w:val="04A0" w:firstRow="1" w:lastRow="0" w:firstColumn="1" w:lastColumn="0" w:noHBand="0" w:noVBand="1"/>
      </w:tblPr>
      <w:tblGrid>
        <w:gridCol w:w="1914"/>
        <w:gridCol w:w="12"/>
        <w:gridCol w:w="1789"/>
        <w:gridCol w:w="53"/>
        <w:gridCol w:w="1809"/>
        <w:gridCol w:w="59"/>
        <w:gridCol w:w="1801"/>
        <w:gridCol w:w="19"/>
        <w:gridCol w:w="1903"/>
      </w:tblGrid>
      <w:tr w:rsidR="004A542C" w:rsidRPr="004A542C" w14:paraId="0D66E3DC" w14:textId="77777777" w:rsidTr="002035D8">
        <w:trPr>
          <w:trHeight w:val="301"/>
        </w:trPr>
        <w:tc>
          <w:tcPr>
            <w:tcW w:w="5577" w:type="dxa"/>
            <w:gridSpan w:val="5"/>
            <w:tcBorders>
              <w:top w:val="single" w:sz="4" w:space="0" w:color="auto"/>
              <w:left w:val="single" w:sz="4" w:space="0" w:color="auto"/>
              <w:bottom w:val="single" w:sz="4" w:space="0" w:color="auto"/>
              <w:right w:val="single" w:sz="4" w:space="0" w:color="000000"/>
            </w:tcBorders>
            <w:shd w:val="clear" w:color="000000" w:fill="E2EFDA"/>
            <w:noWrap/>
            <w:vAlign w:val="bottom"/>
            <w:hideMark/>
          </w:tcPr>
          <w:p w14:paraId="1AC98456" w14:textId="77777777" w:rsidR="004A542C" w:rsidRPr="004A542C" w:rsidRDefault="004A542C" w:rsidP="004A542C">
            <w:pPr>
              <w:spacing w:after="0" w:line="240" w:lineRule="auto"/>
              <w:jc w:val="center"/>
              <w:rPr>
                <w:rFonts w:ascii="Calibri" w:eastAsia="Times New Roman" w:hAnsi="Calibri" w:cs="Calibri"/>
                <w:b/>
                <w:bCs/>
                <w:color w:val="000000"/>
                <w:u w:val="single"/>
              </w:rPr>
            </w:pPr>
            <w:r w:rsidRPr="004A542C">
              <w:rPr>
                <w:rFonts w:ascii="Calibri" w:eastAsia="Times New Roman" w:hAnsi="Calibri" w:cs="Calibri"/>
                <w:b/>
                <w:bCs/>
                <w:color w:val="000000"/>
                <w:u w:val="single"/>
              </w:rPr>
              <w:t>COMPLETED</w:t>
            </w:r>
          </w:p>
        </w:tc>
        <w:tc>
          <w:tcPr>
            <w:tcW w:w="3782" w:type="dxa"/>
            <w:gridSpan w:val="4"/>
            <w:tcBorders>
              <w:top w:val="single" w:sz="4" w:space="0" w:color="auto"/>
              <w:left w:val="nil"/>
              <w:bottom w:val="single" w:sz="4" w:space="0" w:color="auto"/>
              <w:right w:val="single" w:sz="4" w:space="0" w:color="000000"/>
            </w:tcBorders>
            <w:shd w:val="clear" w:color="000000" w:fill="FFF2CC"/>
            <w:noWrap/>
            <w:vAlign w:val="bottom"/>
            <w:hideMark/>
          </w:tcPr>
          <w:p w14:paraId="3FE69ECD" w14:textId="77777777" w:rsidR="004A542C" w:rsidRPr="004A542C" w:rsidRDefault="004A542C" w:rsidP="004A542C">
            <w:pPr>
              <w:spacing w:after="0" w:line="240" w:lineRule="auto"/>
              <w:jc w:val="center"/>
              <w:rPr>
                <w:rFonts w:ascii="Calibri" w:eastAsia="Times New Roman" w:hAnsi="Calibri" w:cs="Calibri"/>
                <w:b/>
                <w:bCs/>
                <w:color w:val="000000"/>
                <w:u w:val="single"/>
              </w:rPr>
            </w:pPr>
            <w:r w:rsidRPr="004A542C">
              <w:rPr>
                <w:rFonts w:ascii="Calibri" w:eastAsia="Times New Roman" w:hAnsi="Calibri" w:cs="Calibri"/>
                <w:b/>
                <w:bCs/>
                <w:color w:val="000000"/>
                <w:u w:val="single"/>
              </w:rPr>
              <w:t>ONGOING</w:t>
            </w:r>
          </w:p>
        </w:tc>
      </w:tr>
      <w:tr w:rsidR="004A542C" w:rsidRPr="004A542C" w14:paraId="25171DA2" w14:textId="77777777" w:rsidTr="002035D8">
        <w:trPr>
          <w:trHeight w:val="1052"/>
        </w:trPr>
        <w:tc>
          <w:tcPr>
            <w:tcW w:w="1926" w:type="dxa"/>
            <w:gridSpan w:val="2"/>
            <w:tcBorders>
              <w:top w:val="nil"/>
              <w:left w:val="single" w:sz="4" w:space="0" w:color="auto"/>
              <w:bottom w:val="single" w:sz="4" w:space="0" w:color="auto"/>
              <w:right w:val="single" w:sz="4" w:space="0" w:color="auto"/>
            </w:tcBorders>
            <w:shd w:val="clear" w:color="000000" w:fill="E2EFDA"/>
            <w:noWrap/>
            <w:hideMark/>
          </w:tcPr>
          <w:p w14:paraId="3F402A0A" w14:textId="77777777" w:rsidR="004A542C" w:rsidRPr="004A542C" w:rsidRDefault="004A542C" w:rsidP="004A542C">
            <w:pPr>
              <w:spacing w:after="0" w:line="240" w:lineRule="auto"/>
              <w:rPr>
                <w:rFonts w:ascii="Calibri" w:eastAsia="Times New Roman" w:hAnsi="Calibri" w:cs="Calibri"/>
                <w:b/>
                <w:bCs/>
                <w:color w:val="000000"/>
                <w:sz w:val="20"/>
                <w:szCs w:val="20"/>
              </w:rPr>
            </w:pPr>
            <w:r w:rsidRPr="004A542C">
              <w:rPr>
                <w:rFonts w:ascii="Calibri" w:eastAsia="Times New Roman" w:hAnsi="Calibri" w:cs="Calibri"/>
                <w:b/>
                <w:bCs/>
                <w:color w:val="000000"/>
                <w:sz w:val="20"/>
                <w:szCs w:val="20"/>
              </w:rPr>
              <w:t>TASK</w:t>
            </w:r>
          </w:p>
        </w:tc>
        <w:tc>
          <w:tcPr>
            <w:tcW w:w="1842" w:type="dxa"/>
            <w:gridSpan w:val="2"/>
            <w:tcBorders>
              <w:top w:val="nil"/>
              <w:left w:val="nil"/>
              <w:bottom w:val="single" w:sz="4" w:space="0" w:color="auto"/>
              <w:right w:val="single" w:sz="4" w:space="0" w:color="auto"/>
            </w:tcBorders>
            <w:shd w:val="clear" w:color="000000" w:fill="E2EFDA"/>
            <w:hideMark/>
          </w:tcPr>
          <w:p w14:paraId="1B99A78A" w14:textId="77777777" w:rsidR="004A542C" w:rsidRPr="004A542C" w:rsidRDefault="004A542C" w:rsidP="004A542C">
            <w:pPr>
              <w:spacing w:after="0" w:line="240" w:lineRule="auto"/>
              <w:rPr>
                <w:rFonts w:ascii="Calibri" w:eastAsia="Times New Roman" w:hAnsi="Calibri" w:cs="Calibri"/>
                <w:color w:val="000000"/>
                <w:sz w:val="20"/>
                <w:szCs w:val="20"/>
              </w:rPr>
            </w:pPr>
            <w:r w:rsidRPr="004A542C">
              <w:rPr>
                <w:rFonts w:ascii="Calibri" w:eastAsia="Times New Roman" w:hAnsi="Calibri" w:cs="Calibri"/>
                <w:color w:val="000000"/>
                <w:sz w:val="20"/>
                <w:szCs w:val="20"/>
              </w:rPr>
              <w:t>Preliminary Engineering Reports (1 &amp; 3 updates)</w:t>
            </w:r>
          </w:p>
        </w:tc>
        <w:tc>
          <w:tcPr>
            <w:tcW w:w="1807" w:type="dxa"/>
            <w:tcBorders>
              <w:top w:val="nil"/>
              <w:left w:val="nil"/>
              <w:bottom w:val="single" w:sz="4" w:space="0" w:color="auto"/>
              <w:right w:val="single" w:sz="4" w:space="0" w:color="auto"/>
            </w:tcBorders>
            <w:shd w:val="clear" w:color="000000" w:fill="E2EFDA"/>
            <w:hideMark/>
          </w:tcPr>
          <w:p w14:paraId="70BD0DCE" w14:textId="77777777" w:rsidR="004A542C" w:rsidRPr="004A542C" w:rsidRDefault="004A542C" w:rsidP="004A542C">
            <w:pPr>
              <w:spacing w:after="0" w:line="240" w:lineRule="auto"/>
              <w:rPr>
                <w:rFonts w:ascii="Calibri" w:eastAsia="Times New Roman" w:hAnsi="Calibri" w:cs="Calibri"/>
                <w:color w:val="000000"/>
                <w:sz w:val="20"/>
                <w:szCs w:val="20"/>
              </w:rPr>
            </w:pPr>
            <w:r w:rsidRPr="004A542C">
              <w:rPr>
                <w:rFonts w:ascii="Calibri" w:eastAsia="Times New Roman" w:hAnsi="Calibri" w:cs="Calibri"/>
                <w:color w:val="000000"/>
                <w:sz w:val="20"/>
                <w:szCs w:val="20"/>
              </w:rPr>
              <w:t>Grants Secured ($10.7m)</w:t>
            </w:r>
          </w:p>
        </w:tc>
        <w:tc>
          <w:tcPr>
            <w:tcW w:w="1879" w:type="dxa"/>
            <w:gridSpan w:val="3"/>
            <w:tcBorders>
              <w:top w:val="nil"/>
              <w:left w:val="nil"/>
              <w:bottom w:val="single" w:sz="4" w:space="0" w:color="auto"/>
              <w:right w:val="single" w:sz="4" w:space="0" w:color="auto"/>
            </w:tcBorders>
            <w:shd w:val="clear" w:color="000000" w:fill="FFF2CC"/>
            <w:hideMark/>
          </w:tcPr>
          <w:p w14:paraId="1FC78C47" w14:textId="77777777" w:rsidR="004A542C" w:rsidRPr="004A542C" w:rsidRDefault="004A542C" w:rsidP="004A542C">
            <w:pPr>
              <w:spacing w:after="0" w:line="240" w:lineRule="auto"/>
              <w:rPr>
                <w:rFonts w:ascii="Calibri" w:eastAsia="Times New Roman" w:hAnsi="Calibri" w:cs="Calibri"/>
                <w:color w:val="000000"/>
                <w:sz w:val="20"/>
                <w:szCs w:val="20"/>
              </w:rPr>
            </w:pPr>
            <w:r w:rsidRPr="004A542C">
              <w:rPr>
                <w:rFonts w:ascii="Calibri" w:eastAsia="Times New Roman" w:hAnsi="Calibri" w:cs="Calibri"/>
                <w:color w:val="000000"/>
                <w:sz w:val="20"/>
                <w:szCs w:val="20"/>
              </w:rPr>
              <w:t>Environmental Compliance*</w:t>
            </w:r>
          </w:p>
        </w:tc>
        <w:tc>
          <w:tcPr>
            <w:tcW w:w="1902" w:type="dxa"/>
            <w:tcBorders>
              <w:top w:val="nil"/>
              <w:left w:val="nil"/>
              <w:bottom w:val="single" w:sz="4" w:space="0" w:color="auto"/>
              <w:right w:val="single" w:sz="4" w:space="0" w:color="auto"/>
            </w:tcBorders>
            <w:shd w:val="clear" w:color="000000" w:fill="FFF2CC"/>
            <w:hideMark/>
          </w:tcPr>
          <w:p w14:paraId="455D3DC2" w14:textId="77777777" w:rsidR="004A542C" w:rsidRPr="004A542C" w:rsidRDefault="004A542C" w:rsidP="004A542C">
            <w:pPr>
              <w:spacing w:after="0" w:line="240" w:lineRule="auto"/>
              <w:rPr>
                <w:rFonts w:ascii="Calibri" w:eastAsia="Times New Roman" w:hAnsi="Calibri" w:cs="Calibri"/>
                <w:color w:val="000000"/>
                <w:sz w:val="20"/>
                <w:szCs w:val="20"/>
              </w:rPr>
            </w:pPr>
            <w:r w:rsidRPr="004A542C">
              <w:rPr>
                <w:rFonts w:ascii="Calibri" w:eastAsia="Times New Roman" w:hAnsi="Calibri" w:cs="Calibri"/>
                <w:color w:val="000000"/>
                <w:sz w:val="20"/>
                <w:szCs w:val="20"/>
              </w:rPr>
              <w:t>Finalize Funding Commitments (USDA &amp; CWSRF)</w:t>
            </w:r>
          </w:p>
        </w:tc>
      </w:tr>
      <w:tr w:rsidR="004A542C" w:rsidRPr="004A542C" w14:paraId="47EB3ABC" w14:textId="77777777" w:rsidTr="002035D8">
        <w:trPr>
          <w:trHeight w:val="301"/>
        </w:trPr>
        <w:tc>
          <w:tcPr>
            <w:tcW w:w="1926" w:type="dxa"/>
            <w:gridSpan w:val="2"/>
            <w:tcBorders>
              <w:top w:val="nil"/>
              <w:left w:val="single" w:sz="4" w:space="0" w:color="auto"/>
              <w:bottom w:val="single" w:sz="4" w:space="0" w:color="auto"/>
              <w:right w:val="single" w:sz="4" w:space="0" w:color="auto"/>
            </w:tcBorders>
            <w:shd w:val="clear" w:color="000000" w:fill="E2EFDA"/>
            <w:noWrap/>
            <w:hideMark/>
          </w:tcPr>
          <w:p w14:paraId="02D8A7BF" w14:textId="77777777" w:rsidR="004A542C" w:rsidRPr="004A542C" w:rsidRDefault="004A542C" w:rsidP="004A542C">
            <w:pPr>
              <w:spacing w:after="0" w:line="240" w:lineRule="auto"/>
              <w:rPr>
                <w:rFonts w:ascii="Calibri" w:eastAsia="Times New Roman" w:hAnsi="Calibri" w:cs="Calibri"/>
                <w:b/>
                <w:bCs/>
                <w:color w:val="000000"/>
                <w:sz w:val="20"/>
                <w:szCs w:val="20"/>
              </w:rPr>
            </w:pPr>
            <w:r w:rsidRPr="004A542C">
              <w:rPr>
                <w:rFonts w:ascii="Calibri" w:eastAsia="Times New Roman" w:hAnsi="Calibri" w:cs="Calibri"/>
                <w:b/>
                <w:bCs/>
                <w:color w:val="000000"/>
                <w:sz w:val="20"/>
                <w:szCs w:val="20"/>
              </w:rPr>
              <w:t>Status</w:t>
            </w:r>
          </w:p>
        </w:tc>
        <w:tc>
          <w:tcPr>
            <w:tcW w:w="1842" w:type="dxa"/>
            <w:gridSpan w:val="2"/>
            <w:tcBorders>
              <w:top w:val="nil"/>
              <w:left w:val="nil"/>
              <w:bottom w:val="single" w:sz="4" w:space="0" w:color="auto"/>
              <w:right w:val="single" w:sz="4" w:space="0" w:color="auto"/>
            </w:tcBorders>
            <w:shd w:val="clear" w:color="000000" w:fill="E2EFDA"/>
            <w:noWrap/>
            <w:hideMark/>
          </w:tcPr>
          <w:p w14:paraId="4CA80056" w14:textId="77777777" w:rsidR="004A542C" w:rsidRPr="004A542C" w:rsidRDefault="004A542C" w:rsidP="004A542C">
            <w:pPr>
              <w:spacing w:after="0" w:line="240" w:lineRule="auto"/>
              <w:rPr>
                <w:rFonts w:ascii="Calibri" w:eastAsia="Times New Roman" w:hAnsi="Calibri" w:cs="Calibri"/>
                <w:color w:val="000000"/>
                <w:sz w:val="20"/>
                <w:szCs w:val="20"/>
              </w:rPr>
            </w:pPr>
            <w:r w:rsidRPr="004A542C">
              <w:rPr>
                <w:rFonts w:ascii="Calibri" w:eastAsia="Times New Roman" w:hAnsi="Calibri" w:cs="Calibri"/>
                <w:color w:val="000000"/>
                <w:sz w:val="20"/>
                <w:szCs w:val="20"/>
              </w:rPr>
              <w:t>2019 - 2022</w:t>
            </w:r>
          </w:p>
        </w:tc>
        <w:tc>
          <w:tcPr>
            <w:tcW w:w="1807" w:type="dxa"/>
            <w:tcBorders>
              <w:top w:val="nil"/>
              <w:left w:val="nil"/>
              <w:bottom w:val="single" w:sz="4" w:space="0" w:color="auto"/>
              <w:right w:val="single" w:sz="4" w:space="0" w:color="auto"/>
            </w:tcBorders>
            <w:shd w:val="clear" w:color="000000" w:fill="E2EFDA"/>
            <w:noWrap/>
            <w:hideMark/>
          </w:tcPr>
          <w:p w14:paraId="6421B4B1" w14:textId="77777777" w:rsidR="004A542C" w:rsidRPr="004A542C" w:rsidRDefault="004A542C" w:rsidP="004A542C">
            <w:pPr>
              <w:spacing w:after="0" w:line="240" w:lineRule="auto"/>
              <w:rPr>
                <w:rFonts w:ascii="Calibri" w:eastAsia="Times New Roman" w:hAnsi="Calibri" w:cs="Calibri"/>
                <w:color w:val="000000"/>
                <w:sz w:val="20"/>
                <w:szCs w:val="20"/>
              </w:rPr>
            </w:pPr>
            <w:r w:rsidRPr="004A542C">
              <w:rPr>
                <w:rFonts w:ascii="Calibri" w:eastAsia="Times New Roman" w:hAnsi="Calibri" w:cs="Calibri"/>
                <w:color w:val="000000"/>
                <w:sz w:val="20"/>
                <w:szCs w:val="20"/>
              </w:rPr>
              <w:t>2018 -2022</w:t>
            </w:r>
          </w:p>
        </w:tc>
        <w:tc>
          <w:tcPr>
            <w:tcW w:w="1879" w:type="dxa"/>
            <w:gridSpan w:val="3"/>
            <w:tcBorders>
              <w:top w:val="nil"/>
              <w:left w:val="nil"/>
              <w:bottom w:val="single" w:sz="4" w:space="0" w:color="auto"/>
              <w:right w:val="single" w:sz="4" w:space="0" w:color="auto"/>
            </w:tcBorders>
            <w:shd w:val="clear" w:color="000000" w:fill="FFF2CC"/>
            <w:noWrap/>
            <w:hideMark/>
          </w:tcPr>
          <w:p w14:paraId="7C1DC5C9" w14:textId="77777777" w:rsidR="004A542C" w:rsidRPr="004A542C" w:rsidRDefault="004A542C" w:rsidP="004A542C">
            <w:pPr>
              <w:spacing w:after="0" w:line="240" w:lineRule="auto"/>
              <w:rPr>
                <w:rFonts w:ascii="Calibri" w:eastAsia="Times New Roman" w:hAnsi="Calibri" w:cs="Calibri"/>
                <w:i/>
                <w:iCs/>
                <w:color w:val="000000"/>
                <w:sz w:val="20"/>
                <w:szCs w:val="20"/>
              </w:rPr>
            </w:pPr>
            <w:r w:rsidRPr="004A542C">
              <w:rPr>
                <w:rFonts w:ascii="Calibri" w:eastAsia="Times New Roman" w:hAnsi="Calibri" w:cs="Calibri"/>
                <w:i/>
                <w:iCs/>
                <w:color w:val="000000"/>
                <w:sz w:val="20"/>
                <w:szCs w:val="20"/>
              </w:rPr>
              <w:t>2019 - current</w:t>
            </w:r>
          </w:p>
        </w:tc>
        <w:tc>
          <w:tcPr>
            <w:tcW w:w="1902" w:type="dxa"/>
            <w:tcBorders>
              <w:top w:val="nil"/>
              <w:left w:val="nil"/>
              <w:bottom w:val="single" w:sz="4" w:space="0" w:color="auto"/>
              <w:right w:val="single" w:sz="4" w:space="0" w:color="auto"/>
            </w:tcBorders>
            <w:shd w:val="clear" w:color="000000" w:fill="FFF2CC"/>
            <w:noWrap/>
            <w:hideMark/>
          </w:tcPr>
          <w:p w14:paraId="1D39A7E8" w14:textId="77777777" w:rsidR="004A542C" w:rsidRPr="004A542C" w:rsidRDefault="004A542C" w:rsidP="004A542C">
            <w:pPr>
              <w:spacing w:after="0" w:line="240" w:lineRule="auto"/>
              <w:rPr>
                <w:rFonts w:ascii="Calibri" w:eastAsia="Times New Roman" w:hAnsi="Calibri" w:cs="Calibri"/>
                <w:i/>
                <w:iCs/>
                <w:color w:val="000000"/>
                <w:sz w:val="20"/>
                <w:szCs w:val="20"/>
              </w:rPr>
            </w:pPr>
            <w:r w:rsidRPr="004A542C">
              <w:rPr>
                <w:rFonts w:ascii="Calibri" w:eastAsia="Times New Roman" w:hAnsi="Calibri" w:cs="Calibri"/>
                <w:i/>
                <w:iCs/>
                <w:color w:val="000000"/>
                <w:sz w:val="20"/>
                <w:szCs w:val="20"/>
              </w:rPr>
              <w:t>2018 - current</w:t>
            </w:r>
          </w:p>
        </w:tc>
      </w:tr>
      <w:tr w:rsidR="004A542C" w:rsidRPr="004A542C" w14:paraId="3EC13E9E" w14:textId="77777777" w:rsidTr="002035D8">
        <w:trPr>
          <w:trHeight w:val="301"/>
        </w:trPr>
        <w:tc>
          <w:tcPr>
            <w:tcW w:w="1926" w:type="dxa"/>
            <w:gridSpan w:val="2"/>
            <w:tcBorders>
              <w:top w:val="nil"/>
              <w:left w:val="single" w:sz="4" w:space="0" w:color="auto"/>
              <w:bottom w:val="single" w:sz="4" w:space="0" w:color="auto"/>
              <w:right w:val="single" w:sz="4" w:space="0" w:color="auto"/>
            </w:tcBorders>
            <w:shd w:val="clear" w:color="000000" w:fill="E2EFDA"/>
            <w:noWrap/>
            <w:vAlign w:val="bottom"/>
            <w:hideMark/>
          </w:tcPr>
          <w:p w14:paraId="263914C4" w14:textId="77777777" w:rsidR="004A542C" w:rsidRPr="004A542C" w:rsidRDefault="004A542C" w:rsidP="004A542C">
            <w:pPr>
              <w:spacing w:after="0" w:line="240" w:lineRule="auto"/>
              <w:rPr>
                <w:rFonts w:ascii="Calibri" w:eastAsia="Times New Roman" w:hAnsi="Calibri" w:cs="Calibri"/>
                <w:b/>
                <w:bCs/>
                <w:color w:val="000000"/>
                <w:sz w:val="20"/>
                <w:szCs w:val="20"/>
              </w:rPr>
            </w:pPr>
            <w:r w:rsidRPr="004A542C">
              <w:rPr>
                <w:rFonts w:ascii="Calibri" w:eastAsia="Times New Roman" w:hAnsi="Calibri" w:cs="Calibri"/>
                <w:b/>
                <w:bCs/>
                <w:color w:val="000000"/>
                <w:sz w:val="20"/>
                <w:szCs w:val="20"/>
              </w:rPr>
              <w:t>Est Timeframe</w:t>
            </w:r>
          </w:p>
        </w:tc>
        <w:tc>
          <w:tcPr>
            <w:tcW w:w="1842" w:type="dxa"/>
            <w:gridSpan w:val="2"/>
            <w:tcBorders>
              <w:top w:val="nil"/>
              <w:left w:val="nil"/>
              <w:bottom w:val="single" w:sz="4" w:space="0" w:color="auto"/>
              <w:right w:val="single" w:sz="4" w:space="0" w:color="auto"/>
            </w:tcBorders>
            <w:shd w:val="clear" w:color="000000" w:fill="E2EFDA"/>
            <w:noWrap/>
            <w:vAlign w:val="bottom"/>
            <w:hideMark/>
          </w:tcPr>
          <w:p w14:paraId="76DE6E34" w14:textId="77777777" w:rsidR="004A542C" w:rsidRPr="004A542C" w:rsidRDefault="004A542C" w:rsidP="004A542C">
            <w:pPr>
              <w:spacing w:after="0" w:line="240" w:lineRule="auto"/>
              <w:rPr>
                <w:rFonts w:ascii="Calibri" w:eastAsia="Times New Roman" w:hAnsi="Calibri" w:cs="Calibri"/>
                <w:color w:val="000000"/>
                <w:sz w:val="20"/>
                <w:szCs w:val="20"/>
              </w:rPr>
            </w:pPr>
            <w:r w:rsidRPr="004A542C">
              <w:rPr>
                <w:rFonts w:ascii="Calibri" w:eastAsia="Times New Roman" w:hAnsi="Calibri" w:cs="Calibri"/>
                <w:color w:val="000000"/>
                <w:sz w:val="20"/>
                <w:szCs w:val="20"/>
              </w:rPr>
              <w:t> </w:t>
            </w:r>
          </w:p>
        </w:tc>
        <w:tc>
          <w:tcPr>
            <w:tcW w:w="1807" w:type="dxa"/>
            <w:tcBorders>
              <w:top w:val="nil"/>
              <w:left w:val="nil"/>
              <w:bottom w:val="single" w:sz="4" w:space="0" w:color="auto"/>
              <w:right w:val="single" w:sz="4" w:space="0" w:color="auto"/>
            </w:tcBorders>
            <w:shd w:val="clear" w:color="000000" w:fill="E2EFDA"/>
            <w:noWrap/>
            <w:vAlign w:val="bottom"/>
            <w:hideMark/>
          </w:tcPr>
          <w:p w14:paraId="4E36BA46" w14:textId="77777777" w:rsidR="004A542C" w:rsidRPr="004A542C" w:rsidRDefault="004A542C" w:rsidP="004A542C">
            <w:pPr>
              <w:spacing w:after="0" w:line="240" w:lineRule="auto"/>
              <w:rPr>
                <w:rFonts w:ascii="Calibri" w:eastAsia="Times New Roman" w:hAnsi="Calibri" w:cs="Calibri"/>
                <w:color w:val="000000"/>
                <w:sz w:val="20"/>
                <w:szCs w:val="20"/>
              </w:rPr>
            </w:pPr>
            <w:r w:rsidRPr="004A542C">
              <w:rPr>
                <w:rFonts w:ascii="Calibri" w:eastAsia="Times New Roman" w:hAnsi="Calibri" w:cs="Calibri"/>
                <w:color w:val="000000"/>
                <w:sz w:val="20"/>
                <w:szCs w:val="20"/>
              </w:rPr>
              <w:t> </w:t>
            </w:r>
          </w:p>
        </w:tc>
        <w:tc>
          <w:tcPr>
            <w:tcW w:w="1879" w:type="dxa"/>
            <w:gridSpan w:val="3"/>
            <w:tcBorders>
              <w:top w:val="nil"/>
              <w:left w:val="nil"/>
              <w:bottom w:val="single" w:sz="4" w:space="0" w:color="auto"/>
              <w:right w:val="single" w:sz="4" w:space="0" w:color="auto"/>
            </w:tcBorders>
            <w:shd w:val="clear" w:color="000000" w:fill="FFF2CC"/>
            <w:noWrap/>
            <w:vAlign w:val="bottom"/>
            <w:hideMark/>
          </w:tcPr>
          <w:p w14:paraId="2494F329" w14:textId="77777777" w:rsidR="004A542C" w:rsidRPr="004A542C" w:rsidRDefault="004A542C" w:rsidP="004A542C">
            <w:pPr>
              <w:spacing w:after="0" w:line="240" w:lineRule="auto"/>
              <w:rPr>
                <w:rFonts w:ascii="Calibri" w:eastAsia="Times New Roman" w:hAnsi="Calibri" w:cs="Calibri"/>
                <w:color w:val="000000"/>
                <w:sz w:val="20"/>
                <w:szCs w:val="20"/>
              </w:rPr>
            </w:pPr>
            <w:r w:rsidRPr="004A542C">
              <w:rPr>
                <w:rFonts w:ascii="Calibri" w:eastAsia="Times New Roman" w:hAnsi="Calibri" w:cs="Calibri"/>
                <w:color w:val="000000"/>
                <w:sz w:val="20"/>
                <w:szCs w:val="20"/>
              </w:rPr>
              <w:t>4-7 months</w:t>
            </w:r>
          </w:p>
        </w:tc>
        <w:tc>
          <w:tcPr>
            <w:tcW w:w="1902" w:type="dxa"/>
            <w:tcBorders>
              <w:top w:val="nil"/>
              <w:left w:val="nil"/>
              <w:bottom w:val="single" w:sz="4" w:space="0" w:color="auto"/>
              <w:right w:val="single" w:sz="4" w:space="0" w:color="auto"/>
            </w:tcBorders>
            <w:shd w:val="clear" w:color="000000" w:fill="FFF2CC"/>
            <w:noWrap/>
            <w:vAlign w:val="bottom"/>
            <w:hideMark/>
          </w:tcPr>
          <w:p w14:paraId="01413CAC" w14:textId="77777777" w:rsidR="004A542C" w:rsidRPr="004A542C" w:rsidRDefault="004A542C" w:rsidP="004A542C">
            <w:pPr>
              <w:spacing w:after="0" w:line="240" w:lineRule="auto"/>
              <w:rPr>
                <w:rFonts w:ascii="Calibri" w:eastAsia="Times New Roman" w:hAnsi="Calibri" w:cs="Calibri"/>
                <w:color w:val="000000"/>
                <w:sz w:val="20"/>
                <w:szCs w:val="20"/>
              </w:rPr>
            </w:pPr>
            <w:r w:rsidRPr="004A542C">
              <w:rPr>
                <w:rFonts w:ascii="Calibri" w:eastAsia="Times New Roman" w:hAnsi="Calibri" w:cs="Calibri"/>
                <w:color w:val="000000"/>
                <w:sz w:val="20"/>
                <w:szCs w:val="20"/>
              </w:rPr>
              <w:t>4-8 months*</w:t>
            </w:r>
          </w:p>
        </w:tc>
      </w:tr>
      <w:tr w:rsidR="00323A2E" w:rsidRPr="00323A2E" w14:paraId="15C3FD5D" w14:textId="77777777" w:rsidTr="002035D8">
        <w:trPr>
          <w:trHeight w:val="301"/>
        </w:trPr>
        <w:tc>
          <w:tcPr>
            <w:tcW w:w="9359"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C65552" w14:textId="77777777" w:rsidR="00323A2E" w:rsidRPr="00323A2E" w:rsidRDefault="00323A2E" w:rsidP="00323A2E">
            <w:pPr>
              <w:spacing w:after="0" w:line="240" w:lineRule="auto"/>
              <w:jc w:val="center"/>
              <w:rPr>
                <w:rFonts w:ascii="Calibri" w:eastAsia="Times New Roman" w:hAnsi="Calibri" w:cs="Calibri"/>
                <w:b/>
                <w:bCs/>
                <w:color w:val="000000"/>
                <w:u w:val="single"/>
              </w:rPr>
            </w:pPr>
            <w:r w:rsidRPr="00323A2E">
              <w:rPr>
                <w:rFonts w:ascii="Calibri" w:eastAsia="Times New Roman" w:hAnsi="Calibri" w:cs="Calibri"/>
                <w:b/>
                <w:bCs/>
                <w:color w:val="000000"/>
                <w:u w:val="single"/>
              </w:rPr>
              <w:t>TASKS NOT BEGUN</w:t>
            </w:r>
          </w:p>
        </w:tc>
      </w:tr>
      <w:tr w:rsidR="00323A2E" w:rsidRPr="00323A2E" w14:paraId="0EC8E6E1" w14:textId="77777777" w:rsidTr="002035D8">
        <w:trPr>
          <w:trHeight w:val="1043"/>
        </w:trPr>
        <w:tc>
          <w:tcPr>
            <w:tcW w:w="1914" w:type="dxa"/>
            <w:tcBorders>
              <w:top w:val="nil"/>
              <w:left w:val="single" w:sz="4" w:space="0" w:color="auto"/>
              <w:bottom w:val="single" w:sz="4" w:space="0" w:color="auto"/>
              <w:right w:val="single" w:sz="4" w:space="0" w:color="auto"/>
            </w:tcBorders>
            <w:shd w:val="clear" w:color="auto" w:fill="auto"/>
            <w:hideMark/>
          </w:tcPr>
          <w:p w14:paraId="1ADB92B5" w14:textId="77777777" w:rsidR="00323A2E" w:rsidRPr="00323A2E" w:rsidRDefault="00323A2E" w:rsidP="00323A2E">
            <w:pPr>
              <w:spacing w:after="0" w:line="240" w:lineRule="auto"/>
              <w:rPr>
                <w:rFonts w:ascii="Calibri" w:eastAsia="Times New Roman" w:hAnsi="Calibri" w:cs="Calibri"/>
                <w:color w:val="000000"/>
                <w:sz w:val="20"/>
                <w:szCs w:val="20"/>
              </w:rPr>
            </w:pPr>
            <w:r w:rsidRPr="00323A2E">
              <w:rPr>
                <w:rFonts w:ascii="Calibri" w:eastAsia="Times New Roman" w:hAnsi="Calibri" w:cs="Calibri"/>
                <w:color w:val="000000"/>
                <w:sz w:val="20"/>
                <w:szCs w:val="20"/>
              </w:rPr>
              <w:t>Bid the Progressive Design/Build, PDB (Engineer + Vendor Team)</w:t>
            </w:r>
          </w:p>
        </w:tc>
        <w:tc>
          <w:tcPr>
            <w:tcW w:w="1801" w:type="dxa"/>
            <w:gridSpan w:val="2"/>
            <w:tcBorders>
              <w:top w:val="nil"/>
              <w:left w:val="nil"/>
              <w:bottom w:val="single" w:sz="4" w:space="0" w:color="auto"/>
              <w:right w:val="single" w:sz="4" w:space="0" w:color="auto"/>
            </w:tcBorders>
            <w:shd w:val="clear" w:color="auto" w:fill="auto"/>
            <w:hideMark/>
          </w:tcPr>
          <w:p w14:paraId="7497ECE3" w14:textId="77777777" w:rsidR="00323A2E" w:rsidRPr="00323A2E" w:rsidRDefault="00323A2E" w:rsidP="00323A2E">
            <w:pPr>
              <w:spacing w:after="0" w:line="240" w:lineRule="auto"/>
              <w:rPr>
                <w:rFonts w:ascii="Calibri" w:eastAsia="Times New Roman" w:hAnsi="Calibri" w:cs="Calibri"/>
                <w:color w:val="000000"/>
                <w:sz w:val="20"/>
                <w:szCs w:val="20"/>
              </w:rPr>
            </w:pPr>
            <w:r w:rsidRPr="00323A2E">
              <w:rPr>
                <w:rFonts w:ascii="Calibri" w:eastAsia="Times New Roman" w:hAnsi="Calibri" w:cs="Calibri"/>
                <w:color w:val="000000"/>
                <w:sz w:val="20"/>
                <w:szCs w:val="20"/>
              </w:rPr>
              <w:t>Procure an Owners Rep (City-side Engineer for QA/QC)</w:t>
            </w:r>
          </w:p>
        </w:tc>
        <w:tc>
          <w:tcPr>
            <w:tcW w:w="1921" w:type="dxa"/>
            <w:gridSpan w:val="3"/>
            <w:tcBorders>
              <w:top w:val="nil"/>
              <w:left w:val="nil"/>
              <w:bottom w:val="single" w:sz="4" w:space="0" w:color="auto"/>
              <w:right w:val="single" w:sz="4" w:space="0" w:color="auto"/>
            </w:tcBorders>
            <w:shd w:val="clear" w:color="auto" w:fill="auto"/>
            <w:hideMark/>
          </w:tcPr>
          <w:p w14:paraId="0367B715" w14:textId="77777777" w:rsidR="00323A2E" w:rsidRPr="00323A2E" w:rsidRDefault="00323A2E" w:rsidP="00323A2E">
            <w:pPr>
              <w:spacing w:after="0" w:line="240" w:lineRule="auto"/>
              <w:rPr>
                <w:rFonts w:ascii="Calibri" w:eastAsia="Times New Roman" w:hAnsi="Calibri" w:cs="Calibri"/>
                <w:color w:val="000000"/>
                <w:sz w:val="20"/>
                <w:szCs w:val="20"/>
              </w:rPr>
            </w:pPr>
            <w:r w:rsidRPr="00323A2E">
              <w:rPr>
                <w:rFonts w:ascii="Calibri" w:eastAsia="Times New Roman" w:hAnsi="Calibri" w:cs="Calibri"/>
                <w:color w:val="000000"/>
                <w:sz w:val="20"/>
                <w:szCs w:val="20"/>
              </w:rPr>
              <w:t>Final Design &amp; Off-Site Construction (PDB Team), City Engineer QA/QC</w:t>
            </w:r>
          </w:p>
        </w:tc>
        <w:tc>
          <w:tcPr>
            <w:tcW w:w="1801" w:type="dxa"/>
            <w:tcBorders>
              <w:top w:val="nil"/>
              <w:left w:val="nil"/>
              <w:bottom w:val="single" w:sz="4" w:space="0" w:color="auto"/>
              <w:right w:val="single" w:sz="4" w:space="0" w:color="auto"/>
            </w:tcBorders>
            <w:shd w:val="clear" w:color="auto" w:fill="auto"/>
            <w:hideMark/>
          </w:tcPr>
          <w:p w14:paraId="3CE7426C" w14:textId="77777777" w:rsidR="00323A2E" w:rsidRPr="00323A2E" w:rsidRDefault="00323A2E" w:rsidP="00323A2E">
            <w:pPr>
              <w:spacing w:after="0" w:line="240" w:lineRule="auto"/>
              <w:rPr>
                <w:rFonts w:ascii="Calibri" w:eastAsia="Times New Roman" w:hAnsi="Calibri" w:cs="Calibri"/>
                <w:color w:val="000000"/>
                <w:sz w:val="20"/>
                <w:szCs w:val="20"/>
              </w:rPr>
            </w:pPr>
            <w:r w:rsidRPr="00323A2E">
              <w:rPr>
                <w:rFonts w:ascii="Calibri" w:eastAsia="Times New Roman" w:hAnsi="Calibri" w:cs="Calibri"/>
                <w:color w:val="000000"/>
                <w:sz w:val="20"/>
                <w:szCs w:val="20"/>
              </w:rPr>
              <w:t>Bid Construction on the WWTF</w:t>
            </w:r>
          </w:p>
        </w:tc>
        <w:tc>
          <w:tcPr>
            <w:tcW w:w="1921" w:type="dxa"/>
            <w:gridSpan w:val="2"/>
            <w:tcBorders>
              <w:top w:val="nil"/>
              <w:left w:val="nil"/>
              <w:bottom w:val="single" w:sz="4" w:space="0" w:color="auto"/>
              <w:right w:val="single" w:sz="4" w:space="0" w:color="auto"/>
            </w:tcBorders>
            <w:shd w:val="clear" w:color="auto" w:fill="auto"/>
            <w:hideMark/>
          </w:tcPr>
          <w:p w14:paraId="0EEC0001" w14:textId="77777777" w:rsidR="00323A2E" w:rsidRPr="00323A2E" w:rsidRDefault="00323A2E" w:rsidP="00323A2E">
            <w:pPr>
              <w:spacing w:after="0" w:line="240" w:lineRule="auto"/>
              <w:rPr>
                <w:rFonts w:ascii="Calibri" w:eastAsia="Times New Roman" w:hAnsi="Calibri" w:cs="Calibri"/>
                <w:color w:val="000000"/>
                <w:sz w:val="20"/>
                <w:szCs w:val="20"/>
              </w:rPr>
            </w:pPr>
            <w:r w:rsidRPr="00323A2E">
              <w:rPr>
                <w:rFonts w:ascii="Calibri" w:eastAsia="Times New Roman" w:hAnsi="Calibri" w:cs="Calibri"/>
                <w:color w:val="000000"/>
                <w:sz w:val="20"/>
                <w:szCs w:val="20"/>
              </w:rPr>
              <w:t>Complete Construction on the new WWTF</w:t>
            </w:r>
          </w:p>
        </w:tc>
      </w:tr>
      <w:tr w:rsidR="00323A2E" w:rsidRPr="00323A2E" w14:paraId="773C991D" w14:textId="77777777" w:rsidTr="002035D8">
        <w:trPr>
          <w:trHeight w:val="301"/>
        </w:trPr>
        <w:tc>
          <w:tcPr>
            <w:tcW w:w="1914" w:type="dxa"/>
            <w:tcBorders>
              <w:top w:val="nil"/>
              <w:left w:val="single" w:sz="4" w:space="0" w:color="auto"/>
              <w:bottom w:val="single" w:sz="4" w:space="0" w:color="auto"/>
              <w:right w:val="nil"/>
            </w:tcBorders>
            <w:shd w:val="clear" w:color="auto" w:fill="auto"/>
            <w:noWrap/>
            <w:hideMark/>
          </w:tcPr>
          <w:p w14:paraId="4C4E0846" w14:textId="77777777" w:rsidR="00323A2E" w:rsidRPr="00323A2E" w:rsidRDefault="00323A2E" w:rsidP="00323A2E">
            <w:pPr>
              <w:spacing w:after="0" w:line="240" w:lineRule="auto"/>
              <w:rPr>
                <w:rFonts w:ascii="Calibri" w:eastAsia="Times New Roman" w:hAnsi="Calibri" w:cs="Calibri"/>
                <w:color w:val="000000"/>
                <w:sz w:val="20"/>
                <w:szCs w:val="20"/>
                <w:u w:val="single"/>
              </w:rPr>
            </w:pPr>
            <w:r w:rsidRPr="00323A2E">
              <w:rPr>
                <w:rFonts w:ascii="Calibri" w:eastAsia="Times New Roman" w:hAnsi="Calibri" w:cs="Calibri"/>
                <w:color w:val="000000"/>
                <w:sz w:val="20"/>
                <w:szCs w:val="20"/>
                <w:u w:val="single"/>
              </w:rPr>
              <w:t> </w:t>
            </w:r>
          </w:p>
        </w:tc>
        <w:tc>
          <w:tcPr>
            <w:tcW w:w="1801" w:type="dxa"/>
            <w:gridSpan w:val="2"/>
            <w:tcBorders>
              <w:top w:val="nil"/>
              <w:left w:val="nil"/>
              <w:bottom w:val="single" w:sz="4" w:space="0" w:color="auto"/>
              <w:right w:val="nil"/>
            </w:tcBorders>
            <w:shd w:val="clear" w:color="auto" w:fill="auto"/>
            <w:noWrap/>
            <w:hideMark/>
          </w:tcPr>
          <w:p w14:paraId="68A04AA8" w14:textId="77777777" w:rsidR="00323A2E" w:rsidRPr="00323A2E" w:rsidRDefault="00323A2E" w:rsidP="00323A2E">
            <w:pPr>
              <w:spacing w:after="0" w:line="240" w:lineRule="auto"/>
              <w:rPr>
                <w:rFonts w:ascii="Calibri" w:eastAsia="Times New Roman" w:hAnsi="Calibri" w:cs="Calibri"/>
                <w:color w:val="000000"/>
                <w:sz w:val="20"/>
                <w:szCs w:val="20"/>
                <w:u w:val="single"/>
              </w:rPr>
            </w:pPr>
            <w:r w:rsidRPr="00323A2E">
              <w:rPr>
                <w:rFonts w:ascii="Calibri" w:eastAsia="Times New Roman" w:hAnsi="Calibri" w:cs="Calibri"/>
                <w:color w:val="000000"/>
                <w:sz w:val="20"/>
                <w:szCs w:val="20"/>
                <w:u w:val="single"/>
              </w:rPr>
              <w:t> </w:t>
            </w:r>
          </w:p>
        </w:tc>
        <w:tc>
          <w:tcPr>
            <w:tcW w:w="1921" w:type="dxa"/>
            <w:gridSpan w:val="3"/>
            <w:tcBorders>
              <w:top w:val="nil"/>
              <w:left w:val="nil"/>
              <w:bottom w:val="single" w:sz="4" w:space="0" w:color="auto"/>
              <w:right w:val="nil"/>
            </w:tcBorders>
            <w:shd w:val="clear" w:color="auto" w:fill="auto"/>
            <w:noWrap/>
            <w:hideMark/>
          </w:tcPr>
          <w:p w14:paraId="685CF814" w14:textId="77777777" w:rsidR="00323A2E" w:rsidRPr="00323A2E" w:rsidRDefault="00323A2E" w:rsidP="00323A2E">
            <w:pPr>
              <w:spacing w:after="0" w:line="240" w:lineRule="auto"/>
              <w:rPr>
                <w:rFonts w:ascii="Calibri" w:eastAsia="Times New Roman" w:hAnsi="Calibri" w:cs="Calibri"/>
                <w:color w:val="000000"/>
                <w:sz w:val="20"/>
                <w:szCs w:val="20"/>
                <w:u w:val="single"/>
              </w:rPr>
            </w:pPr>
            <w:r w:rsidRPr="00323A2E">
              <w:rPr>
                <w:rFonts w:ascii="Calibri" w:eastAsia="Times New Roman" w:hAnsi="Calibri" w:cs="Calibri"/>
                <w:color w:val="000000"/>
                <w:sz w:val="20"/>
                <w:szCs w:val="20"/>
                <w:u w:val="single"/>
              </w:rPr>
              <w:t> </w:t>
            </w:r>
          </w:p>
        </w:tc>
        <w:tc>
          <w:tcPr>
            <w:tcW w:w="1801" w:type="dxa"/>
            <w:tcBorders>
              <w:top w:val="nil"/>
              <w:left w:val="nil"/>
              <w:bottom w:val="single" w:sz="4" w:space="0" w:color="auto"/>
              <w:right w:val="nil"/>
            </w:tcBorders>
            <w:shd w:val="clear" w:color="auto" w:fill="auto"/>
            <w:noWrap/>
            <w:hideMark/>
          </w:tcPr>
          <w:p w14:paraId="51A60A6E" w14:textId="77777777" w:rsidR="00323A2E" w:rsidRPr="00323A2E" w:rsidRDefault="00323A2E" w:rsidP="00323A2E">
            <w:pPr>
              <w:spacing w:after="0" w:line="240" w:lineRule="auto"/>
              <w:rPr>
                <w:rFonts w:ascii="Calibri" w:eastAsia="Times New Roman" w:hAnsi="Calibri" w:cs="Calibri"/>
                <w:color w:val="000000"/>
                <w:sz w:val="20"/>
                <w:szCs w:val="20"/>
                <w:u w:val="single"/>
              </w:rPr>
            </w:pPr>
            <w:r w:rsidRPr="00323A2E">
              <w:rPr>
                <w:rFonts w:ascii="Calibri" w:eastAsia="Times New Roman" w:hAnsi="Calibri" w:cs="Calibri"/>
                <w:color w:val="000000"/>
                <w:sz w:val="20"/>
                <w:szCs w:val="20"/>
                <w:u w:val="single"/>
              </w:rPr>
              <w:t> </w:t>
            </w:r>
          </w:p>
        </w:tc>
        <w:tc>
          <w:tcPr>
            <w:tcW w:w="1921" w:type="dxa"/>
            <w:gridSpan w:val="2"/>
            <w:tcBorders>
              <w:top w:val="nil"/>
              <w:left w:val="nil"/>
              <w:bottom w:val="single" w:sz="4" w:space="0" w:color="auto"/>
              <w:right w:val="single" w:sz="4" w:space="0" w:color="auto"/>
            </w:tcBorders>
            <w:shd w:val="clear" w:color="auto" w:fill="auto"/>
            <w:noWrap/>
            <w:hideMark/>
          </w:tcPr>
          <w:p w14:paraId="69EAFEC4" w14:textId="77777777" w:rsidR="00323A2E" w:rsidRPr="00323A2E" w:rsidRDefault="00323A2E" w:rsidP="00323A2E">
            <w:pPr>
              <w:spacing w:after="0" w:line="240" w:lineRule="auto"/>
              <w:rPr>
                <w:rFonts w:ascii="Calibri" w:eastAsia="Times New Roman" w:hAnsi="Calibri" w:cs="Calibri"/>
                <w:color w:val="000000"/>
                <w:sz w:val="20"/>
                <w:szCs w:val="20"/>
                <w:u w:val="single"/>
              </w:rPr>
            </w:pPr>
            <w:r w:rsidRPr="00323A2E">
              <w:rPr>
                <w:rFonts w:ascii="Calibri" w:eastAsia="Times New Roman" w:hAnsi="Calibri" w:cs="Calibri"/>
                <w:color w:val="000000"/>
                <w:sz w:val="20"/>
                <w:szCs w:val="20"/>
                <w:u w:val="single"/>
              </w:rPr>
              <w:t> </w:t>
            </w:r>
          </w:p>
        </w:tc>
      </w:tr>
      <w:tr w:rsidR="00323A2E" w:rsidRPr="00323A2E" w14:paraId="1D6E9504" w14:textId="77777777" w:rsidTr="002035D8">
        <w:trPr>
          <w:trHeight w:val="301"/>
        </w:trPr>
        <w:tc>
          <w:tcPr>
            <w:tcW w:w="1914" w:type="dxa"/>
            <w:tcBorders>
              <w:top w:val="nil"/>
              <w:left w:val="single" w:sz="4" w:space="0" w:color="auto"/>
              <w:bottom w:val="single" w:sz="4" w:space="0" w:color="auto"/>
              <w:right w:val="single" w:sz="4" w:space="0" w:color="auto"/>
            </w:tcBorders>
            <w:shd w:val="clear" w:color="auto" w:fill="auto"/>
            <w:noWrap/>
            <w:vAlign w:val="bottom"/>
            <w:hideMark/>
          </w:tcPr>
          <w:p w14:paraId="6ACAEDA9" w14:textId="4D88770F" w:rsidR="00323A2E" w:rsidRPr="00323A2E" w:rsidRDefault="003A3B17" w:rsidP="00323A2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2</w:t>
            </w:r>
            <w:r w:rsidR="00323A2E" w:rsidRPr="00323A2E">
              <w:rPr>
                <w:rFonts w:ascii="Calibri" w:eastAsia="Times New Roman" w:hAnsi="Calibri" w:cs="Calibri"/>
                <w:color w:val="000000"/>
                <w:sz w:val="20"/>
                <w:szCs w:val="20"/>
              </w:rPr>
              <w:t>-</w:t>
            </w:r>
            <w:r>
              <w:rPr>
                <w:rFonts w:ascii="Calibri" w:eastAsia="Times New Roman" w:hAnsi="Calibri" w:cs="Calibri"/>
                <w:color w:val="000000"/>
                <w:sz w:val="20"/>
                <w:szCs w:val="20"/>
              </w:rPr>
              <w:t>3</w:t>
            </w:r>
            <w:r w:rsidR="00323A2E" w:rsidRPr="00323A2E">
              <w:rPr>
                <w:rFonts w:ascii="Calibri" w:eastAsia="Times New Roman" w:hAnsi="Calibri" w:cs="Calibri"/>
                <w:color w:val="000000"/>
                <w:sz w:val="20"/>
                <w:szCs w:val="20"/>
              </w:rPr>
              <w:t xml:space="preserve"> months</w:t>
            </w:r>
          </w:p>
        </w:tc>
        <w:tc>
          <w:tcPr>
            <w:tcW w:w="1801" w:type="dxa"/>
            <w:gridSpan w:val="2"/>
            <w:tcBorders>
              <w:top w:val="nil"/>
              <w:left w:val="nil"/>
              <w:bottom w:val="single" w:sz="4" w:space="0" w:color="auto"/>
              <w:right w:val="single" w:sz="4" w:space="0" w:color="auto"/>
            </w:tcBorders>
            <w:shd w:val="clear" w:color="auto" w:fill="auto"/>
            <w:noWrap/>
            <w:vAlign w:val="bottom"/>
            <w:hideMark/>
          </w:tcPr>
          <w:p w14:paraId="060C5D9D" w14:textId="77777777" w:rsidR="00323A2E" w:rsidRPr="00323A2E" w:rsidRDefault="00323A2E" w:rsidP="00323A2E">
            <w:pPr>
              <w:spacing w:after="0" w:line="240" w:lineRule="auto"/>
              <w:rPr>
                <w:rFonts w:ascii="Calibri" w:eastAsia="Times New Roman" w:hAnsi="Calibri" w:cs="Calibri"/>
                <w:color w:val="000000"/>
                <w:sz w:val="20"/>
                <w:szCs w:val="20"/>
              </w:rPr>
            </w:pPr>
            <w:r w:rsidRPr="00323A2E">
              <w:rPr>
                <w:rFonts w:ascii="Calibri" w:eastAsia="Times New Roman" w:hAnsi="Calibri" w:cs="Calibri"/>
                <w:color w:val="000000"/>
                <w:sz w:val="20"/>
                <w:szCs w:val="20"/>
              </w:rPr>
              <w:t>1-2 months</w:t>
            </w:r>
          </w:p>
        </w:tc>
        <w:tc>
          <w:tcPr>
            <w:tcW w:w="1921" w:type="dxa"/>
            <w:gridSpan w:val="3"/>
            <w:tcBorders>
              <w:top w:val="nil"/>
              <w:left w:val="nil"/>
              <w:bottom w:val="single" w:sz="4" w:space="0" w:color="auto"/>
              <w:right w:val="single" w:sz="4" w:space="0" w:color="auto"/>
            </w:tcBorders>
            <w:shd w:val="clear" w:color="auto" w:fill="auto"/>
            <w:noWrap/>
            <w:vAlign w:val="bottom"/>
            <w:hideMark/>
          </w:tcPr>
          <w:p w14:paraId="23701532" w14:textId="240DA58E" w:rsidR="00323A2E" w:rsidRPr="00323A2E" w:rsidRDefault="00323A2E" w:rsidP="00323A2E">
            <w:pPr>
              <w:spacing w:after="0" w:line="240" w:lineRule="auto"/>
              <w:rPr>
                <w:rFonts w:ascii="Calibri" w:eastAsia="Times New Roman" w:hAnsi="Calibri" w:cs="Calibri"/>
                <w:color w:val="000000"/>
                <w:sz w:val="20"/>
                <w:szCs w:val="20"/>
              </w:rPr>
            </w:pPr>
            <w:r w:rsidRPr="00323A2E">
              <w:rPr>
                <w:rFonts w:ascii="Calibri" w:eastAsia="Times New Roman" w:hAnsi="Calibri" w:cs="Calibri"/>
                <w:color w:val="000000"/>
                <w:sz w:val="20"/>
                <w:szCs w:val="20"/>
              </w:rPr>
              <w:t>12 months</w:t>
            </w:r>
          </w:p>
        </w:tc>
        <w:tc>
          <w:tcPr>
            <w:tcW w:w="1801" w:type="dxa"/>
            <w:tcBorders>
              <w:top w:val="nil"/>
              <w:left w:val="nil"/>
              <w:bottom w:val="single" w:sz="4" w:space="0" w:color="auto"/>
              <w:right w:val="single" w:sz="4" w:space="0" w:color="auto"/>
            </w:tcBorders>
            <w:shd w:val="clear" w:color="auto" w:fill="auto"/>
            <w:noWrap/>
            <w:vAlign w:val="bottom"/>
            <w:hideMark/>
          </w:tcPr>
          <w:p w14:paraId="1DE9EBBE" w14:textId="4F6731E3" w:rsidR="00323A2E" w:rsidRPr="00323A2E" w:rsidRDefault="004836F2" w:rsidP="00323A2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2</w:t>
            </w:r>
            <w:r w:rsidR="00323A2E" w:rsidRPr="00323A2E">
              <w:rPr>
                <w:rFonts w:ascii="Calibri" w:eastAsia="Times New Roman" w:hAnsi="Calibri" w:cs="Calibri"/>
                <w:color w:val="000000"/>
                <w:sz w:val="20"/>
                <w:szCs w:val="20"/>
              </w:rPr>
              <w:t>-</w:t>
            </w:r>
            <w:r>
              <w:rPr>
                <w:rFonts w:ascii="Calibri" w:eastAsia="Times New Roman" w:hAnsi="Calibri" w:cs="Calibri"/>
                <w:color w:val="000000"/>
                <w:sz w:val="20"/>
                <w:szCs w:val="20"/>
              </w:rPr>
              <w:t>3</w:t>
            </w:r>
            <w:r w:rsidR="00323A2E" w:rsidRPr="00323A2E">
              <w:rPr>
                <w:rFonts w:ascii="Calibri" w:eastAsia="Times New Roman" w:hAnsi="Calibri" w:cs="Calibri"/>
                <w:color w:val="000000"/>
                <w:sz w:val="20"/>
                <w:szCs w:val="20"/>
              </w:rPr>
              <w:t xml:space="preserve"> months</w:t>
            </w:r>
          </w:p>
        </w:tc>
        <w:tc>
          <w:tcPr>
            <w:tcW w:w="1921" w:type="dxa"/>
            <w:gridSpan w:val="2"/>
            <w:tcBorders>
              <w:top w:val="nil"/>
              <w:left w:val="nil"/>
              <w:bottom w:val="single" w:sz="4" w:space="0" w:color="auto"/>
              <w:right w:val="single" w:sz="4" w:space="0" w:color="auto"/>
            </w:tcBorders>
            <w:shd w:val="clear" w:color="auto" w:fill="auto"/>
            <w:noWrap/>
            <w:vAlign w:val="bottom"/>
            <w:hideMark/>
          </w:tcPr>
          <w:p w14:paraId="3205A3ED" w14:textId="77777777" w:rsidR="00323A2E" w:rsidRPr="00323A2E" w:rsidRDefault="00323A2E" w:rsidP="00323A2E">
            <w:pPr>
              <w:spacing w:after="0" w:line="240" w:lineRule="auto"/>
              <w:rPr>
                <w:rFonts w:ascii="Calibri" w:eastAsia="Times New Roman" w:hAnsi="Calibri" w:cs="Calibri"/>
                <w:color w:val="000000"/>
                <w:sz w:val="20"/>
                <w:szCs w:val="20"/>
              </w:rPr>
            </w:pPr>
            <w:r w:rsidRPr="00323A2E">
              <w:rPr>
                <w:rFonts w:ascii="Calibri" w:eastAsia="Times New Roman" w:hAnsi="Calibri" w:cs="Calibri"/>
                <w:color w:val="000000"/>
                <w:sz w:val="20"/>
                <w:szCs w:val="20"/>
              </w:rPr>
              <w:t>12 months</w:t>
            </w:r>
          </w:p>
        </w:tc>
      </w:tr>
    </w:tbl>
    <w:p w14:paraId="52AB71AF" w14:textId="15F8F869" w:rsidR="0025516F" w:rsidRDefault="0025516F" w:rsidP="00C527A7">
      <w:pPr>
        <w:pStyle w:val="Heading1"/>
      </w:pPr>
      <w:r>
        <w:t>Section 7/Environmental Compliance</w:t>
      </w:r>
      <w:r w:rsidR="00DC6482">
        <w:t xml:space="preserve"> (Task 1)</w:t>
      </w:r>
    </w:p>
    <w:p w14:paraId="61059200" w14:textId="32355C5E" w:rsidR="00473776" w:rsidRDefault="00473776" w:rsidP="00F623B9">
      <w:pPr>
        <w:pStyle w:val="NoSpacing"/>
      </w:pPr>
      <w:r>
        <w:t>The City project team</w:t>
      </w:r>
      <w:r w:rsidRPr="00473776">
        <w:t xml:space="preserve"> held another </w:t>
      </w:r>
      <w:r>
        <w:t xml:space="preserve">call with the environmental agencies (NOAA-NMFS and USFWS) to </w:t>
      </w:r>
      <w:r w:rsidR="00AC326B">
        <w:t xml:space="preserve">discuss the City’s monitoring plan under the DEQ permit </w:t>
      </w:r>
      <w:r w:rsidR="00F90CFE">
        <w:t xml:space="preserve">and </w:t>
      </w:r>
      <w:r w:rsidR="00AC326B">
        <w:t xml:space="preserve">potential hang-ups for monitoring on land </w:t>
      </w:r>
      <w:r w:rsidR="00AC326B">
        <w:lastRenderedPageBreak/>
        <w:t xml:space="preserve">the City has no control over. Once again, the services emphasized that petroleum and </w:t>
      </w:r>
      <w:r w:rsidR="00400875">
        <w:t xml:space="preserve">heavy metals are the potential pollutants that they are most concerned about. </w:t>
      </w:r>
    </w:p>
    <w:p w14:paraId="17F0777B" w14:textId="77777777" w:rsidR="00F90CFE" w:rsidRDefault="00F90CFE" w:rsidP="00F623B9">
      <w:pPr>
        <w:pStyle w:val="NoSpacing"/>
      </w:pPr>
    </w:p>
    <w:p w14:paraId="7FC103ED" w14:textId="22FC506A" w:rsidR="00DB207B" w:rsidRDefault="007F2D0C" w:rsidP="00F623B9">
      <w:pPr>
        <w:pStyle w:val="NoSpacing"/>
      </w:pPr>
      <w:r>
        <w:t>The City’s biological and hydrogeological team</w:t>
      </w:r>
      <w:r w:rsidR="00DB207B">
        <w:t xml:space="preserve"> are pushing back on the recommendation from USFWS/NOAA-NMFS to monitor for petroleum residues.</w:t>
      </w:r>
      <w:r w:rsidR="004503CE">
        <w:t xml:space="preserve"> This quote from Bob Long below provides the rationale for this:</w:t>
      </w:r>
    </w:p>
    <w:p w14:paraId="7722ED32" w14:textId="77777777" w:rsidR="008346B7" w:rsidRDefault="008346B7" w:rsidP="00F623B9">
      <w:pPr>
        <w:pStyle w:val="NoSpacing"/>
      </w:pPr>
    </w:p>
    <w:p w14:paraId="21ABAE13" w14:textId="1B8CAED0" w:rsidR="008346B7" w:rsidRPr="008346B7" w:rsidRDefault="008346B7" w:rsidP="005E3437">
      <w:pPr>
        <w:pStyle w:val="NoSpacing"/>
        <w:ind w:left="720"/>
        <w:rPr>
          <w:i/>
          <w:iCs/>
        </w:rPr>
      </w:pPr>
      <w:r w:rsidRPr="005E3437">
        <w:rPr>
          <w:u w:val="single"/>
        </w:rPr>
        <w:t>Bob Long (</w:t>
      </w:r>
      <w:r w:rsidR="005E3437" w:rsidRPr="005E3437">
        <w:rPr>
          <w:u w:val="single"/>
        </w:rPr>
        <w:t>6/29)</w:t>
      </w:r>
      <w:r w:rsidRPr="005E3437">
        <w:rPr>
          <w:u w:val="single"/>
        </w:rPr>
        <w:t>:</w:t>
      </w:r>
      <w:r w:rsidRPr="008D486C">
        <w:t xml:space="preserve"> </w:t>
      </w:r>
      <w:r w:rsidRPr="008346B7">
        <w:rPr>
          <w:i/>
          <w:iCs/>
        </w:rPr>
        <w:t>We did not include petroleum products as there were none listed on the Table 30 Aquatic Life Quality Criteria for Toxic Pollutants.</w:t>
      </w:r>
      <w:r w:rsidR="00D36C31">
        <w:rPr>
          <w:rStyle w:val="FootnoteReference"/>
          <w:i/>
          <w:iCs/>
        </w:rPr>
        <w:footnoteReference w:id="1"/>
      </w:r>
      <w:r w:rsidRPr="008346B7">
        <w:rPr>
          <w:i/>
          <w:iCs/>
        </w:rPr>
        <w:t xml:space="preserve"> The table consists primarily of metals and pesticides.  In regard to petroleum products, I recommend that we leave that as a focus for construction mitigation (</w:t>
      </w:r>
      <w:proofErr w:type="gramStart"/>
      <w:r w:rsidRPr="008346B7">
        <w:rPr>
          <w:i/>
          <w:iCs/>
        </w:rPr>
        <w:t>i.e.</w:t>
      </w:r>
      <w:proofErr w:type="gramEnd"/>
      <w:r w:rsidRPr="008346B7">
        <w:rPr>
          <w:i/>
          <w:iCs/>
        </w:rPr>
        <w:t xml:space="preserve"> if there is a notable sheen then sample the associated water).</w:t>
      </w:r>
    </w:p>
    <w:p w14:paraId="36BCF134" w14:textId="77777777" w:rsidR="00DB207B" w:rsidRDefault="00DB207B" w:rsidP="00F623B9">
      <w:pPr>
        <w:pStyle w:val="NoSpacing"/>
      </w:pPr>
    </w:p>
    <w:p w14:paraId="77D48AB3" w14:textId="2F17150A" w:rsidR="00C27477" w:rsidRDefault="00DB207B" w:rsidP="00F623B9">
      <w:pPr>
        <w:pStyle w:val="NoSpacing"/>
      </w:pPr>
      <w:r>
        <w:t xml:space="preserve">Instead, the City will adopt mitigation measures for construction when ground-disturbance is occurring to minimize/eliminate any impact to construction workers from leftover petroleum contamination. </w:t>
      </w:r>
      <w:r w:rsidR="005E3437">
        <w:t xml:space="preserve">These mitigation measures will be ODOT’s standard specifications. </w:t>
      </w:r>
    </w:p>
    <w:p w14:paraId="66E24F7E" w14:textId="77777777" w:rsidR="007F2D0C" w:rsidRDefault="007F2D0C" w:rsidP="00F623B9">
      <w:pPr>
        <w:pStyle w:val="NoSpacing"/>
      </w:pPr>
    </w:p>
    <w:p w14:paraId="27172479" w14:textId="109AF483" w:rsidR="00DD181D" w:rsidRPr="00F623B9" w:rsidRDefault="00D17D04" w:rsidP="00F623B9">
      <w:pPr>
        <w:pStyle w:val="NoSpacing"/>
        <w:rPr>
          <w:b/>
          <w:bCs/>
          <w:u w:val="single"/>
        </w:rPr>
      </w:pPr>
      <w:r>
        <w:rPr>
          <w:b/>
          <w:bCs/>
          <w:u w:val="single"/>
        </w:rPr>
        <w:t>Additional T</w:t>
      </w:r>
      <w:r w:rsidR="00DD181D" w:rsidRPr="00F623B9">
        <w:rPr>
          <w:b/>
          <w:bCs/>
          <w:u w:val="single"/>
        </w:rPr>
        <w:t xml:space="preserve">ask Updates: </w:t>
      </w:r>
    </w:p>
    <w:p w14:paraId="305AEC47" w14:textId="6332C26E" w:rsidR="002C122A" w:rsidRDefault="00495ADF" w:rsidP="00251BBF">
      <w:pPr>
        <w:pStyle w:val="ListParagraph"/>
        <w:numPr>
          <w:ilvl w:val="0"/>
          <w:numId w:val="4"/>
        </w:numPr>
        <w:spacing w:after="80" w:line="240" w:lineRule="auto"/>
        <w:contextualSpacing w:val="0"/>
      </w:pPr>
      <w:r>
        <w:t xml:space="preserve">6/12: USFWS/NOAA-NMFS meeting with City Staff, monitoring and mitigation discussed. </w:t>
      </w:r>
      <w:r w:rsidR="005B6A81">
        <w:t xml:space="preserve">Bob Long’s </w:t>
      </w:r>
      <w:r w:rsidR="001A06C8">
        <w:t xml:space="preserve">comments transmitted to the services. </w:t>
      </w:r>
    </w:p>
    <w:p w14:paraId="2B150623" w14:textId="276F0C47" w:rsidR="00627C54" w:rsidRDefault="00627C54" w:rsidP="00251BBF">
      <w:pPr>
        <w:pStyle w:val="ListParagraph"/>
        <w:numPr>
          <w:ilvl w:val="0"/>
          <w:numId w:val="4"/>
        </w:numPr>
        <w:spacing w:after="80" w:line="240" w:lineRule="auto"/>
        <w:contextualSpacing w:val="0"/>
      </w:pPr>
      <w:r>
        <w:t>6/2</w:t>
      </w:r>
      <w:r w:rsidR="002D0827">
        <w:t>9</w:t>
      </w:r>
      <w:r>
        <w:t xml:space="preserve"> – 6/30: Email discussion with USFWS and NOAA-NMFS regarding </w:t>
      </w:r>
      <w:r w:rsidR="00C7016C">
        <w:t xml:space="preserve">best next steps for coordinating document review and approval. </w:t>
      </w:r>
    </w:p>
    <w:p w14:paraId="551202FE" w14:textId="62224F8E" w:rsidR="001A06C8" w:rsidRDefault="00627C54" w:rsidP="00251BBF">
      <w:pPr>
        <w:pStyle w:val="ListParagraph"/>
        <w:numPr>
          <w:ilvl w:val="0"/>
          <w:numId w:val="4"/>
        </w:numPr>
        <w:spacing w:after="80" w:line="240" w:lineRule="auto"/>
        <w:contextualSpacing w:val="0"/>
      </w:pPr>
      <w:r>
        <w:t xml:space="preserve">6/29: </w:t>
      </w:r>
      <w:r w:rsidRPr="002C122A">
        <w:t>CwM-H2O</w:t>
      </w:r>
      <w:r>
        <w:t xml:space="preserve"> (Bob Long) transmits his Draft Water Quality Mitigation Monitoring Plan to internal staff for review. </w:t>
      </w:r>
    </w:p>
    <w:p w14:paraId="6A0FB6EF" w14:textId="6A6AB0A7" w:rsidR="001A06C8" w:rsidRDefault="001A06C8" w:rsidP="00251BBF">
      <w:pPr>
        <w:pStyle w:val="ListParagraph"/>
        <w:numPr>
          <w:ilvl w:val="0"/>
          <w:numId w:val="4"/>
        </w:numPr>
        <w:spacing w:after="80" w:line="240" w:lineRule="auto"/>
        <w:contextualSpacing w:val="0"/>
      </w:pPr>
      <w:r>
        <w:t>6/30: USFWS transmitted recommend</w:t>
      </w:r>
      <w:r w:rsidR="00EB3482">
        <w:t>ations</w:t>
      </w:r>
      <w:r w:rsidR="00163ADD">
        <w:t xml:space="preserve"> their</w:t>
      </w:r>
      <w:r>
        <w:t xml:space="preserve"> water sampling and thresholds, includes petroleum. </w:t>
      </w:r>
    </w:p>
    <w:p w14:paraId="33CEC1BD" w14:textId="6A0E4D70" w:rsidR="00163ADD" w:rsidRDefault="00163ADD" w:rsidP="00251BBF">
      <w:pPr>
        <w:pStyle w:val="ListParagraph"/>
        <w:numPr>
          <w:ilvl w:val="0"/>
          <w:numId w:val="4"/>
        </w:numPr>
        <w:spacing w:after="80" w:line="240" w:lineRule="auto"/>
        <w:contextualSpacing w:val="0"/>
      </w:pPr>
      <w:r>
        <w:t>July: We will submit the</w:t>
      </w:r>
      <w:r w:rsidRPr="00163ADD">
        <w:t xml:space="preserve"> </w:t>
      </w:r>
      <w:r>
        <w:t>Draft Water Quality Mitigation Monitoring Plan to USFWS &amp; NOAA-NMFS</w:t>
      </w:r>
      <w:r w:rsidR="007C36AD">
        <w:t xml:space="preserve"> for review.</w:t>
      </w:r>
    </w:p>
    <w:p w14:paraId="66F95995" w14:textId="6620B7D2" w:rsidR="000029F4" w:rsidRPr="00C1768B" w:rsidRDefault="000029F4" w:rsidP="00614922">
      <w:pPr>
        <w:spacing w:line="240" w:lineRule="auto"/>
        <w:rPr>
          <w:u w:val="single"/>
        </w:rPr>
      </w:pPr>
      <w:r w:rsidRPr="00C1768B">
        <w:rPr>
          <w:b/>
          <w:bCs/>
          <w:u w:val="single"/>
        </w:rPr>
        <w:t>Status</w:t>
      </w:r>
      <w:r w:rsidR="00C27477" w:rsidRPr="00C1768B">
        <w:rPr>
          <w:u w:val="single"/>
        </w:rPr>
        <w:t xml:space="preserve">: </w:t>
      </w:r>
    </w:p>
    <w:p w14:paraId="47E136B5" w14:textId="35E2457A" w:rsidR="008D486C" w:rsidRDefault="008D486C" w:rsidP="00251BBF">
      <w:pPr>
        <w:pStyle w:val="ListParagraph"/>
        <w:numPr>
          <w:ilvl w:val="0"/>
          <w:numId w:val="29"/>
        </w:numPr>
        <w:spacing w:after="80" w:line="240" w:lineRule="auto"/>
        <w:contextualSpacing w:val="0"/>
      </w:pPr>
      <w:r>
        <w:t>Excluding petroleum from the plan will likely trigger another round of negotiations .</w:t>
      </w:r>
    </w:p>
    <w:p w14:paraId="34CC0D77" w14:textId="40BA587B" w:rsidR="00C27477" w:rsidRDefault="00E9681D" w:rsidP="00251BBF">
      <w:pPr>
        <w:pStyle w:val="ListParagraph"/>
        <w:numPr>
          <w:ilvl w:val="0"/>
          <w:numId w:val="29"/>
        </w:numPr>
        <w:spacing w:after="80" w:line="240" w:lineRule="auto"/>
        <w:contextualSpacing w:val="0"/>
      </w:pPr>
      <w:r>
        <w:t xml:space="preserve">Within 4 months of the submission of the </w:t>
      </w:r>
      <w:r>
        <w:rPr>
          <w:i/>
          <w:iCs/>
        </w:rPr>
        <w:t>final</w:t>
      </w:r>
      <w:r>
        <w:t xml:space="preserve"> Biological Assessment to USFWS/NOAA-NMFS under a Formal Consultation, a Biological Opinion will be issued. </w:t>
      </w:r>
    </w:p>
    <w:p w14:paraId="1E4FE549" w14:textId="641BF0C7" w:rsidR="00614922" w:rsidRPr="00C27477" w:rsidRDefault="00614922" w:rsidP="00251BBF">
      <w:pPr>
        <w:pStyle w:val="ListParagraph"/>
        <w:numPr>
          <w:ilvl w:val="0"/>
          <w:numId w:val="29"/>
        </w:numPr>
        <w:spacing w:after="80" w:line="240" w:lineRule="auto"/>
        <w:contextualSpacing w:val="0"/>
      </w:pPr>
      <w:r>
        <w:t xml:space="preserve">After final B.O., USDA will finalize the Environmental Report and publish </w:t>
      </w:r>
      <w:proofErr w:type="gramStart"/>
      <w:r>
        <w:t>it</w:t>
      </w:r>
      <w:proofErr w:type="gramEnd"/>
      <w:r>
        <w:t xml:space="preserve"> </w:t>
      </w:r>
    </w:p>
    <w:p w14:paraId="4CC836FB" w14:textId="019F1E31" w:rsidR="005455CF" w:rsidRDefault="005455CF" w:rsidP="00C527A7">
      <w:pPr>
        <w:pStyle w:val="Heading1"/>
      </w:pPr>
      <w:r w:rsidRPr="00992630">
        <w:t xml:space="preserve">USDA </w:t>
      </w:r>
      <w:r w:rsidR="00D17D04">
        <w:t xml:space="preserve">and Other Funding </w:t>
      </w:r>
      <w:r w:rsidRPr="00992630">
        <w:t>Application</w:t>
      </w:r>
      <w:r w:rsidR="00D17D04">
        <w:t>s</w:t>
      </w:r>
      <w:r w:rsidR="00DC6482">
        <w:t xml:space="preserve"> (Task 2)</w:t>
      </w:r>
    </w:p>
    <w:p w14:paraId="56CAD677" w14:textId="3C848B0C" w:rsidR="00163ADD" w:rsidRDefault="00371312" w:rsidP="00BC71A8">
      <w:r>
        <w:t xml:space="preserve">No updates in June. </w:t>
      </w:r>
      <w:r w:rsidR="003C0D29">
        <w:t xml:space="preserve"> There are some items remaining to coordinate with USDA, including a </w:t>
      </w:r>
      <w:r w:rsidR="00E3415D" w:rsidRPr="00E3415D">
        <w:t>Risk and Resilience Assessment/Emergency Response Plan, with cybersecurity element. </w:t>
      </w:r>
    </w:p>
    <w:p w14:paraId="2D40A437" w14:textId="77777777" w:rsidR="00C1768B" w:rsidRPr="00C1768B" w:rsidRDefault="00C1768B" w:rsidP="00C1768B">
      <w:pPr>
        <w:spacing w:line="240" w:lineRule="auto"/>
        <w:rPr>
          <w:u w:val="single"/>
        </w:rPr>
      </w:pPr>
      <w:r w:rsidRPr="00C1768B">
        <w:rPr>
          <w:b/>
          <w:bCs/>
          <w:u w:val="single"/>
        </w:rPr>
        <w:t>Status</w:t>
      </w:r>
      <w:r w:rsidRPr="00C1768B">
        <w:rPr>
          <w:u w:val="single"/>
        </w:rPr>
        <w:t xml:space="preserve">: </w:t>
      </w:r>
    </w:p>
    <w:p w14:paraId="1D868368" w14:textId="488E22FF" w:rsidR="00AD03C0" w:rsidRDefault="00AD03C0" w:rsidP="00251BBF">
      <w:pPr>
        <w:pStyle w:val="NoSpacing"/>
        <w:numPr>
          <w:ilvl w:val="0"/>
          <w:numId w:val="32"/>
        </w:numPr>
        <w:spacing w:after="80"/>
      </w:pPr>
      <w:r>
        <w:t xml:space="preserve">City Staff working with Ducote and USDA on remaining documents. </w:t>
      </w:r>
    </w:p>
    <w:p w14:paraId="22287F80" w14:textId="3CC82ADA" w:rsidR="00C1768B" w:rsidRDefault="00C1768B" w:rsidP="00251BBF">
      <w:pPr>
        <w:pStyle w:val="NoSpacing"/>
        <w:numPr>
          <w:ilvl w:val="0"/>
          <w:numId w:val="32"/>
        </w:numPr>
        <w:spacing w:after="80"/>
      </w:pPr>
      <w:proofErr w:type="gramStart"/>
      <w:r>
        <w:lastRenderedPageBreak/>
        <w:t>New</w:t>
      </w:r>
      <w:proofErr w:type="gramEnd"/>
      <w:r>
        <w:t xml:space="preserve"> USDA staffer assigned to the project on the funding side of things.</w:t>
      </w:r>
    </w:p>
    <w:p w14:paraId="59CA7545" w14:textId="1E46CF2C" w:rsidR="00D17D04" w:rsidRPr="00BC2293" w:rsidRDefault="00BC2293" w:rsidP="00251BBF">
      <w:pPr>
        <w:pStyle w:val="NoSpacing"/>
        <w:numPr>
          <w:ilvl w:val="0"/>
          <w:numId w:val="32"/>
        </w:numPr>
        <w:spacing w:after="80"/>
      </w:pPr>
      <w:r w:rsidRPr="00BC2293">
        <w:t xml:space="preserve">Cannot proceed </w:t>
      </w:r>
      <w:r>
        <w:t xml:space="preserve">to commitment of funds until </w:t>
      </w:r>
      <w:r w:rsidR="00E03182">
        <w:t xml:space="preserve">the USDA Environmental is completed. </w:t>
      </w:r>
    </w:p>
    <w:p w14:paraId="5748A381" w14:textId="463D49B7" w:rsidR="00D17D04" w:rsidRDefault="00D17D04" w:rsidP="00C527A7">
      <w:pPr>
        <w:pStyle w:val="Heading1"/>
      </w:pPr>
      <w:r w:rsidRPr="001E5CE1">
        <w:t>DEQ Permitting</w:t>
      </w:r>
      <w:r w:rsidR="00DC6482">
        <w:t xml:space="preserve"> (Task 3)</w:t>
      </w:r>
    </w:p>
    <w:p w14:paraId="68016D37" w14:textId="77777777" w:rsidR="00BC30BE" w:rsidRDefault="00F36232" w:rsidP="00BC30BE">
      <w:pPr>
        <w:spacing w:line="240" w:lineRule="auto"/>
      </w:pPr>
      <w:r>
        <w:t>The Department of Environmental Quality (DEQ) issued a new wastewater pollution control facility (WPCF) permit</w:t>
      </w:r>
      <w:r w:rsidR="00BC30BE">
        <w:t xml:space="preserve"> effective on May 1, 2022 (Permit Number: 103281; File Number: 127619). The permit is good for ten years and expires December 31, 2032.</w:t>
      </w:r>
    </w:p>
    <w:p w14:paraId="6BCABA97" w14:textId="77777777" w:rsidR="00BC30BE" w:rsidRDefault="00BC30BE" w:rsidP="00BC30BE">
      <w:pPr>
        <w:spacing w:line="240" w:lineRule="auto"/>
      </w:pPr>
      <w:r>
        <w:t xml:space="preserve">The City is also required to submit a </w:t>
      </w:r>
      <w:r w:rsidRPr="00BC30BE">
        <w:t>Recycled Water Use Plan meeting the requirements in OAR 340-055-0025</w:t>
      </w:r>
      <w:r>
        <w:t xml:space="preserve"> for Schedule D</w:t>
      </w:r>
      <w:r w:rsidRPr="00BC30BE">
        <w:t xml:space="preserve">. The </w:t>
      </w:r>
      <w:r>
        <w:t>City</w:t>
      </w:r>
      <w:r w:rsidRPr="00BC30BE">
        <w:t xml:space="preserve"> must submit this plan or any significant modifications to DEQ for review and approval with sufficient time to clear DEQ review and a public notice period </w:t>
      </w:r>
      <w:r>
        <w:t>before</w:t>
      </w:r>
      <w:r w:rsidRPr="00BC30BE">
        <w:t xml:space="preserve"> distribu</w:t>
      </w:r>
      <w:r>
        <w:t>ting</w:t>
      </w:r>
      <w:r w:rsidRPr="00BC30BE">
        <w:t xml:space="preserve"> recycled water. </w:t>
      </w:r>
      <w:r>
        <w:t>You are</w:t>
      </w:r>
      <w:r w:rsidRPr="00BC30BE">
        <w:t xml:space="preserve"> prohibited from distributing recycled water prior to receipt of written approval of </w:t>
      </w:r>
      <w:r>
        <w:t xml:space="preserve">the City’s </w:t>
      </w:r>
      <w:r w:rsidRPr="00BC30BE">
        <w:t>Recycled Water Use Plan from DEQ.</w:t>
      </w:r>
    </w:p>
    <w:p w14:paraId="6E937687" w14:textId="77777777" w:rsidR="00C1768B" w:rsidRPr="00C1768B" w:rsidRDefault="00C1768B" w:rsidP="00C1768B">
      <w:pPr>
        <w:spacing w:line="240" w:lineRule="auto"/>
        <w:rPr>
          <w:u w:val="single"/>
        </w:rPr>
      </w:pPr>
      <w:r w:rsidRPr="00C1768B">
        <w:rPr>
          <w:b/>
          <w:bCs/>
          <w:u w:val="single"/>
        </w:rPr>
        <w:t>Status</w:t>
      </w:r>
      <w:r w:rsidRPr="00C1768B">
        <w:rPr>
          <w:u w:val="single"/>
        </w:rPr>
        <w:t xml:space="preserve">: </w:t>
      </w:r>
    </w:p>
    <w:p w14:paraId="0B814577" w14:textId="6FA4A9A6" w:rsidR="00BC30BE" w:rsidRPr="00C527A7" w:rsidRDefault="00BC30BE" w:rsidP="00671612">
      <w:pPr>
        <w:pStyle w:val="ListParagraph"/>
        <w:numPr>
          <w:ilvl w:val="0"/>
          <w:numId w:val="34"/>
        </w:numPr>
        <w:spacing w:afterLines="80" w:after="192" w:line="240" w:lineRule="auto"/>
        <w:contextualSpacing w:val="0"/>
        <w:rPr>
          <w:b/>
          <w:bCs/>
        </w:rPr>
      </w:pPr>
      <w:r>
        <w:t>Pending: The Recycled Water Use Plan will be developed by CwM-H2O in concert with the City’s purple pipe engineer (HECO).</w:t>
      </w:r>
      <w:r w:rsidR="00BC71A8">
        <w:t xml:space="preserve"> </w:t>
      </w:r>
      <w:r w:rsidR="008B2D48">
        <w:t xml:space="preserve">That task must be completed before the City can move on with the OWRD Purple Pipe Final Design. </w:t>
      </w:r>
      <w:r w:rsidR="00BC71A8">
        <w:t xml:space="preserve"> </w:t>
      </w:r>
    </w:p>
    <w:p w14:paraId="649F5606" w14:textId="6CBB3563" w:rsidR="00BC30BE" w:rsidRDefault="00BC30BE" w:rsidP="00C527A7">
      <w:pPr>
        <w:pStyle w:val="Heading1"/>
      </w:pPr>
      <w:r>
        <w:t xml:space="preserve">Preliminary </w:t>
      </w:r>
      <w:r w:rsidR="008B2D48">
        <w:t>Area</w:t>
      </w:r>
      <w:r>
        <w:t xml:space="preserve"> Preparation for Companion Projects</w:t>
      </w:r>
      <w:r w:rsidR="00493A40">
        <w:t xml:space="preserve"> (Task 4)</w:t>
      </w:r>
    </w:p>
    <w:p w14:paraId="3C135D31" w14:textId="5D8F744A" w:rsidR="00BC30BE" w:rsidRDefault="00487DB3" w:rsidP="00BC30BE">
      <w:r>
        <w:t>The City has three ongoing companion projects that accompany the Wastewater Treatment Plant. They are (1) Site improvements to NW 7</w:t>
      </w:r>
      <w:r w:rsidRPr="00C527A7">
        <w:rPr>
          <w:vertAlign w:val="superscript"/>
        </w:rPr>
        <w:t>th</w:t>
      </w:r>
      <w:r>
        <w:t xml:space="preserve"> Street and the former Oregon Pine/DR Johnson mill site to make the new facility accessible; (2) Design and construction of the reclaimed water (purple pipe) distribution system; and (3) Design and potential construction of a solar array to power the new facility. </w:t>
      </w:r>
      <w:r w:rsidR="00D46FBD">
        <w:t xml:space="preserve">The City also completed updates to its </w:t>
      </w:r>
      <w:hyperlink r:id="rId9" w:history="1">
        <w:r w:rsidR="00D46FBD" w:rsidRPr="00D46FBD">
          <w:rPr>
            <w:rStyle w:val="Hyperlink"/>
          </w:rPr>
          <w:t>DiscoverJohnDay.com website</w:t>
        </w:r>
      </w:hyperlink>
      <w:r w:rsidR="00D46FBD">
        <w:t xml:space="preserve"> to promote the Project and the City’s use of reclaimed water to create a sustainable high-desert community. </w:t>
      </w:r>
    </w:p>
    <w:p w14:paraId="47188B68" w14:textId="1CF76E27" w:rsidR="00D46FBD" w:rsidRDefault="008B2D48" w:rsidP="00C527A7">
      <w:pPr>
        <w:pStyle w:val="Heading2"/>
      </w:pPr>
      <w:r>
        <w:t>Area</w:t>
      </w:r>
      <w:r w:rsidR="004630A2">
        <w:t xml:space="preserve"> Improvements</w:t>
      </w:r>
    </w:p>
    <w:p w14:paraId="442BBAFB" w14:textId="10A7F783" w:rsidR="004630A2" w:rsidRDefault="003B1957" w:rsidP="00BC30BE">
      <w:r>
        <w:t xml:space="preserve">Trail improvements </w:t>
      </w:r>
      <w:r w:rsidR="002035D8">
        <w:t xml:space="preserve">contracted through </w:t>
      </w:r>
      <w:r w:rsidR="00510ED9">
        <w:t>Knife River</w:t>
      </w:r>
      <w:r w:rsidR="002035D8">
        <w:t xml:space="preserve"> are nearing completion with an inspection planned</w:t>
      </w:r>
      <w:r w:rsidR="000C0401">
        <w:t xml:space="preserve">. These improvements will be paid by the HB5006 DAS-8154 and Oregon Parks and Recreation Department’s </w:t>
      </w:r>
      <w:r w:rsidR="003B06EF">
        <w:t xml:space="preserve">Recreational Trail Program grants. </w:t>
      </w:r>
      <w:r>
        <w:t>7</w:t>
      </w:r>
      <w:r w:rsidRPr="003B1957">
        <w:rPr>
          <w:vertAlign w:val="superscript"/>
        </w:rPr>
        <w:t>th</w:t>
      </w:r>
      <w:r>
        <w:t xml:space="preserve"> St. </w:t>
      </w:r>
      <w:r w:rsidR="00510ED9">
        <w:t xml:space="preserve">(West) </w:t>
      </w:r>
      <w:r w:rsidR="002035D8">
        <w:t xml:space="preserve">contracted through </w:t>
      </w:r>
      <w:r w:rsidR="003B06EF">
        <w:t xml:space="preserve">Tidewater </w:t>
      </w:r>
      <w:r w:rsidR="002035D8">
        <w:t xml:space="preserve">is also nearing completion with inspection planned. </w:t>
      </w:r>
    </w:p>
    <w:p w14:paraId="79F898C7" w14:textId="3C908784" w:rsidR="004630A2" w:rsidRDefault="004630A2" w:rsidP="00C527A7">
      <w:pPr>
        <w:pStyle w:val="Heading2"/>
      </w:pPr>
      <w:r>
        <w:t>Purple Pipe System</w:t>
      </w:r>
    </w:p>
    <w:p w14:paraId="66EF2190" w14:textId="3532FE8B" w:rsidR="00EE5D3C" w:rsidRDefault="007C36AD" w:rsidP="00EE5D3C">
      <w:pPr>
        <w:pStyle w:val="NoSpacing"/>
        <w:rPr>
          <w:b/>
          <w:bCs/>
          <w:u w:val="single"/>
        </w:rPr>
      </w:pPr>
      <w:r>
        <w:t>The Oregon Water Resources Department (OWRD) awarded the City $2.9 million in August 2022 to design and build the purple pipe distribution system. The matching funds for this companion project are the City’s planned expenditures for the treatment plant.</w:t>
      </w:r>
    </w:p>
    <w:p w14:paraId="209E5C55" w14:textId="77777777" w:rsidR="00EE5D3C" w:rsidRDefault="00EE5D3C" w:rsidP="00EE5D3C">
      <w:pPr>
        <w:pStyle w:val="NoSpacing"/>
        <w:rPr>
          <w:b/>
          <w:bCs/>
          <w:u w:val="single"/>
        </w:rPr>
      </w:pPr>
    </w:p>
    <w:p w14:paraId="0C4BD501" w14:textId="4BF4D83F" w:rsidR="00EE5D3C" w:rsidRPr="00F623B9" w:rsidRDefault="00EE5D3C" w:rsidP="00EE5D3C">
      <w:pPr>
        <w:pStyle w:val="NoSpacing"/>
        <w:rPr>
          <w:b/>
          <w:bCs/>
          <w:u w:val="single"/>
        </w:rPr>
      </w:pPr>
      <w:r>
        <w:rPr>
          <w:b/>
          <w:bCs/>
          <w:u w:val="single"/>
        </w:rPr>
        <w:t>T</w:t>
      </w:r>
      <w:r w:rsidRPr="00F623B9">
        <w:rPr>
          <w:b/>
          <w:bCs/>
          <w:u w:val="single"/>
        </w:rPr>
        <w:t xml:space="preserve">ask Updates: </w:t>
      </w:r>
    </w:p>
    <w:p w14:paraId="5F208EE8" w14:textId="3B73D949" w:rsidR="00AE5E52" w:rsidRDefault="00463923" w:rsidP="00251BBF">
      <w:pPr>
        <w:pStyle w:val="ListParagraph"/>
        <w:numPr>
          <w:ilvl w:val="0"/>
          <w:numId w:val="34"/>
        </w:numPr>
        <w:spacing w:after="80" w:line="240" w:lineRule="auto"/>
        <w:contextualSpacing w:val="0"/>
      </w:pPr>
      <w:r>
        <w:t xml:space="preserve">6/26: </w:t>
      </w:r>
      <w:r w:rsidR="00567BB6">
        <w:t>The City officially executed its contract for Final Design of the Purple Pipe project with HECO Engineers</w:t>
      </w:r>
      <w:r w:rsidR="000E70DB">
        <w:t xml:space="preserve">. </w:t>
      </w:r>
    </w:p>
    <w:p w14:paraId="608790B9" w14:textId="7B040DBE" w:rsidR="00463923" w:rsidRPr="00463923" w:rsidRDefault="00463923" w:rsidP="00251BBF">
      <w:pPr>
        <w:pStyle w:val="ListParagraph"/>
        <w:numPr>
          <w:ilvl w:val="0"/>
          <w:numId w:val="34"/>
        </w:numPr>
        <w:spacing w:after="80" w:line="240" w:lineRule="auto"/>
        <w:contextualSpacing w:val="0"/>
      </w:pPr>
      <w:r w:rsidRPr="00463923">
        <w:t>7/5: Extension request for the grant submitted</w:t>
      </w:r>
      <w:r w:rsidR="00E7119D">
        <w:t xml:space="preserve"> to </w:t>
      </w:r>
      <w:proofErr w:type="gramStart"/>
      <w:r w:rsidR="00E7119D">
        <w:t>OWRD</w:t>
      </w:r>
      <w:proofErr w:type="gramEnd"/>
    </w:p>
    <w:p w14:paraId="1AD1724B" w14:textId="732B065E" w:rsidR="00E24708" w:rsidRDefault="00E7119D" w:rsidP="00251BBF">
      <w:pPr>
        <w:pStyle w:val="ListParagraph"/>
        <w:numPr>
          <w:ilvl w:val="0"/>
          <w:numId w:val="34"/>
        </w:numPr>
        <w:spacing w:after="80" w:line="240" w:lineRule="auto"/>
        <w:contextualSpacing w:val="0"/>
      </w:pPr>
      <w:r>
        <w:lastRenderedPageBreak/>
        <w:t xml:space="preserve">7/6: </w:t>
      </w:r>
      <w:r w:rsidR="000E70DB">
        <w:t xml:space="preserve">Kickoff meeting </w:t>
      </w:r>
      <w:r w:rsidR="00AE5E52">
        <w:t xml:space="preserve">held </w:t>
      </w:r>
      <w:r>
        <w:t xml:space="preserve">with </w:t>
      </w:r>
      <w:r w:rsidR="00AE5E52">
        <w:t>HECO</w:t>
      </w:r>
      <w:r>
        <w:t xml:space="preserve">; they have begun work on </w:t>
      </w:r>
      <w:r w:rsidR="008B2D48">
        <w:t xml:space="preserve">Preliminary Engineering and Surveying. </w:t>
      </w:r>
    </w:p>
    <w:p w14:paraId="287FBAAD" w14:textId="673D4052" w:rsidR="00F868EB" w:rsidRDefault="006F4D7B" w:rsidP="00F868EB">
      <w:pPr>
        <w:spacing w:afterLines="80" w:after="192" w:line="240" w:lineRule="auto"/>
      </w:pPr>
      <w:r w:rsidRPr="006F4D7B">
        <w:rPr>
          <w:b/>
          <w:bCs/>
          <w:u w:val="single"/>
        </w:rPr>
        <w:t>Additional Updates:</w:t>
      </w:r>
    </w:p>
    <w:p w14:paraId="35F18F0A" w14:textId="1A2B31CD" w:rsidR="008B2D48" w:rsidRDefault="006F4D7B" w:rsidP="00251BBF">
      <w:pPr>
        <w:pStyle w:val="ListParagraph"/>
        <w:numPr>
          <w:ilvl w:val="0"/>
          <w:numId w:val="38"/>
        </w:numPr>
        <w:spacing w:after="80" w:line="240" w:lineRule="auto"/>
        <w:contextualSpacing w:val="0"/>
      </w:pPr>
      <w:r>
        <w:t xml:space="preserve">Meetings being scheduled to discuss the Parson’s Easement. </w:t>
      </w:r>
    </w:p>
    <w:p w14:paraId="2231B09E" w14:textId="595992DD" w:rsidR="008B2D48" w:rsidRDefault="008B2D48" w:rsidP="00251BBF">
      <w:pPr>
        <w:pStyle w:val="ListParagraph"/>
        <w:numPr>
          <w:ilvl w:val="0"/>
          <w:numId w:val="38"/>
        </w:numPr>
        <w:spacing w:after="80" w:line="240" w:lineRule="auto"/>
        <w:contextualSpacing w:val="0"/>
      </w:pPr>
      <w:r>
        <w:t xml:space="preserve">Environmental team needs to be assembled for wetland delineation and </w:t>
      </w:r>
      <w:r w:rsidR="00BE4C5B">
        <w:t xml:space="preserve">cultural survey. </w:t>
      </w:r>
    </w:p>
    <w:p w14:paraId="0513E765" w14:textId="1D11336B" w:rsidR="00BE4C5B" w:rsidRPr="006F4D7B" w:rsidRDefault="00BE4C5B" w:rsidP="00251BBF">
      <w:pPr>
        <w:pStyle w:val="ListParagraph"/>
        <w:numPr>
          <w:ilvl w:val="1"/>
          <w:numId w:val="38"/>
        </w:numPr>
        <w:spacing w:after="80" w:line="240" w:lineRule="auto"/>
        <w:contextualSpacing w:val="0"/>
      </w:pPr>
      <w:r>
        <w:t xml:space="preserve">Can use a variety of firms that are on the Professional Services Roster. </w:t>
      </w:r>
    </w:p>
    <w:p w14:paraId="7102A627" w14:textId="0F1238E3" w:rsidR="004630A2" w:rsidRDefault="004630A2" w:rsidP="00C527A7">
      <w:pPr>
        <w:pStyle w:val="Heading2"/>
      </w:pPr>
      <w:r>
        <w:t>Solar Array</w:t>
      </w:r>
    </w:p>
    <w:p w14:paraId="5BC30320" w14:textId="1E9A9800" w:rsidR="004630A2" w:rsidRDefault="004630A2" w:rsidP="00BC30BE">
      <w:r w:rsidRPr="0037079E">
        <w:t>T</w:t>
      </w:r>
      <w:r w:rsidR="00493A40" w:rsidRPr="0037079E">
        <w:t xml:space="preserve">he City was awarded a design contract for $100,000 by the Oregon Department of Energy (ODE) under its Community Renewable Energy Program (CREP). The city council approved the grant agreement at its May 9 meeting. </w:t>
      </w:r>
      <w:r w:rsidR="00EB2204" w:rsidRPr="0037079E">
        <w:t>E</w:t>
      </w:r>
      <w:r w:rsidR="00493A40" w:rsidRPr="0037079E">
        <w:t xml:space="preserve">xpiration deadline </w:t>
      </w:r>
      <w:r w:rsidR="00EB2204" w:rsidRPr="0037079E">
        <w:t xml:space="preserve">– </w:t>
      </w:r>
      <w:r w:rsidR="00493A40" w:rsidRPr="0037079E">
        <w:t>September</w:t>
      </w:r>
      <w:r w:rsidR="00EB2204" w:rsidRPr="0037079E">
        <w:t xml:space="preserve"> </w:t>
      </w:r>
      <w:r w:rsidR="00493A40" w:rsidRPr="0037079E">
        <w:t>1, 2023.</w:t>
      </w:r>
    </w:p>
    <w:p w14:paraId="2C41C2F1" w14:textId="77777777" w:rsidR="00671612" w:rsidRPr="00671612" w:rsidRDefault="00671612" w:rsidP="00671612">
      <w:pPr>
        <w:spacing w:line="240" w:lineRule="auto"/>
        <w:rPr>
          <w:u w:val="single"/>
        </w:rPr>
      </w:pPr>
      <w:r w:rsidRPr="00671612">
        <w:rPr>
          <w:b/>
          <w:bCs/>
          <w:u w:val="single"/>
        </w:rPr>
        <w:t>Status</w:t>
      </w:r>
      <w:r w:rsidRPr="00671612">
        <w:rPr>
          <w:u w:val="single"/>
        </w:rPr>
        <w:t xml:space="preserve">: </w:t>
      </w:r>
    </w:p>
    <w:p w14:paraId="54FE6F1C" w14:textId="1609C265" w:rsidR="00EB2204" w:rsidRDefault="00EB2204" w:rsidP="00671612">
      <w:pPr>
        <w:pStyle w:val="ListParagraph"/>
        <w:numPr>
          <w:ilvl w:val="0"/>
          <w:numId w:val="36"/>
        </w:numPr>
        <w:spacing w:afterLines="80" w:after="192" w:line="240" w:lineRule="auto"/>
        <w:contextualSpacing w:val="0"/>
      </w:pPr>
      <w:r w:rsidRPr="0056510F">
        <w:t>An engineering firm</w:t>
      </w:r>
      <w:r>
        <w:t xml:space="preserve"> – Tetra Tech – </w:t>
      </w:r>
      <w:r w:rsidRPr="0056510F">
        <w:t>has been selected for the Design and Preliminary Engineering</w:t>
      </w:r>
      <w:r>
        <w:t xml:space="preserve">. The contract is currently under negotiation. </w:t>
      </w:r>
    </w:p>
    <w:p w14:paraId="14C2B26E" w14:textId="54944570" w:rsidR="005455CF" w:rsidRPr="00BC30BE" w:rsidRDefault="005455CF" w:rsidP="00C527A7">
      <w:pPr>
        <w:pStyle w:val="Heading1"/>
      </w:pPr>
      <w:r w:rsidRPr="00BC30BE">
        <w:t>Progressive Design/Build Procurement Document</w:t>
      </w:r>
      <w:r w:rsidR="00BC30BE">
        <w:t xml:space="preserve"> (Task </w:t>
      </w:r>
      <w:r w:rsidR="00493A40">
        <w:t>5</w:t>
      </w:r>
      <w:r w:rsidR="00BC30BE">
        <w:t>)</w:t>
      </w:r>
    </w:p>
    <w:p w14:paraId="2B58AC50" w14:textId="2720342E" w:rsidR="00D17D04" w:rsidRDefault="00D17D04" w:rsidP="00D17D04">
      <w:r>
        <w:t xml:space="preserve">When the environmental review (Task 1) is published and the public comment period is completed, our Business Oregon grants and loans will “unlock” so we can begin the bidding process on an engineer and vendor. That bid process will be covered under a Progressive Design/Build solicitation unless that method fails to receive USDA approval at the National Office. Having the solicitation process begin requires both Task 1 and Task </w:t>
      </w:r>
      <w:r w:rsidR="00BC30BE">
        <w:t>2</w:t>
      </w:r>
      <w:r>
        <w:t xml:space="preserve"> outlined </w:t>
      </w:r>
      <w:r w:rsidR="00BC30BE">
        <w:t>to be</w:t>
      </w:r>
      <w:r>
        <w:t xml:space="preserve"> completed and finalized. </w:t>
      </w:r>
    </w:p>
    <w:p w14:paraId="5DCBFC97" w14:textId="77777777" w:rsidR="0037079E" w:rsidRPr="00C1768B" w:rsidRDefault="0037079E" w:rsidP="0037079E">
      <w:pPr>
        <w:spacing w:line="240" w:lineRule="auto"/>
        <w:rPr>
          <w:u w:val="single"/>
        </w:rPr>
      </w:pPr>
      <w:r w:rsidRPr="00C1768B">
        <w:rPr>
          <w:b/>
          <w:bCs/>
          <w:u w:val="single"/>
        </w:rPr>
        <w:t>Status</w:t>
      </w:r>
      <w:r w:rsidRPr="00C1768B">
        <w:rPr>
          <w:u w:val="single"/>
        </w:rPr>
        <w:t xml:space="preserve">: </w:t>
      </w:r>
    </w:p>
    <w:p w14:paraId="75FC9521" w14:textId="2718303E" w:rsidR="00E54B26" w:rsidRDefault="00E54B26" w:rsidP="00671612">
      <w:pPr>
        <w:pStyle w:val="ListParagraph"/>
        <w:numPr>
          <w:ilvl w:val="0"/>
          <w:numId w:val="37"/>
        </w:numPr>
        <w:spacing w:afterLines="80" w:after="192" w:line="240" w:lineRule="auto"/>
        <w:contextualSpacing w:val="0"/>
      </w:pPr>
      <w:proofErr w:type="gramStart"/>
      <w:r>
        <w:t>Current status</w:t>
      </w:r>
      <w:proofErr w:type="gramEnd"/>
      <w:r>
        <w:t xml:space="preserve">: No </w:t>
      </w:r>
      <w:r w:rsidR="00BC30BE">
        <w:t>follow-</w:t>
      </w:r>
      <w:r>
        <w:t xml:space="preserve">up with BLJ on this document. </w:t>
      </w:r>
      <w:r w:rsidR="00C77AAE">
        <w:t xml:space="preserve">Not a high priority item until the Biological Assessment has at least been submitted. </w:t>
      </w:r>
    </w:p>
    <w:p w14:paraId="2BB98905" w14:textId="57F345D1" w:rsidR="00493A40" w:rsidRDefault="00493A40" w:rsidP="00C527A7">
      <w:pPr>
        <w:pStyle w:val="Heading1"/>
      </w:pPr>
      <w:r>
        <w:t>Community Engagement and Outreach (Task 6)</w:t>
      </w:r>
    </w:p>
    <w:p w14:paraId="22C23803" w14:textId="77777777" w:rsidR="00671612" w:rsidRPr="00C1768B" w:rsidRDefault="00671612" w:rsidP="00671612">
      <w:pPr>
        <w:spacing w:line="240" w:lineRule="auto"/>
        <w:rPr>
          <w:u w:val="single"/>
        </w:rPr>
      </w:pPr>
      <w:r w:rsidRPr="00C1768B">
        <w:rPr>
          <w:b/>
          <w:bCs/>
          <w:u w:val="single"/>
        </w:rPr>
        <w:t>Status</w:t>
      </w:r>
      <w:r w:rsidRPr="00C1768B">
        <w:rPr>
          <w:u w:val="single"/>
        </w:rPr>
        <w:t xml:space="preserve">: </w:t>
      </w:r>
    </w:p>
    <w:p w14:paraId="3D1AE1DA" w14:textId="1B1AC0A0" w:rsidR="00C77AAE" w:rsidRDefault="00C77AAE" w:rsidP="00251BBF">
      <w:pPr>
        <w:pStyle w:val="ListParagraph"/>
        <w:numPr>
          <w:ilvl w:val="0"/>
          <w:numId w:val="35"/>
        </w:numPr>
        <w:spacing w:after="80" w:line="240" w:lineRule="auto"/>
        <w:contextualSpacing w:val="0"/>
      </w:pPr>
      <w:r>
        <w:t xml:space="preserve">Canyon City </w:t>
      </w:r>
      <w:r w:rsidR="00FA6146">
        <w:t>rate negotiation</w:t>
      </w:r>
      <w:r w:rsidR="00671612">
        <w:t xml:space="preserve"> is on-going. </w:t>
      </w:r>
    </w:p>
    <w:p w14:paraId="3C87BC69" w14:textId="65673AF0" w:rsidR="00FA6146" w:rsidRDefault="00FA6146" w:rsidP="00251BBF">
      <w:pPr>
        <w:pStyle w:val="ListParagraph"/>
        <w:numPr>
          <w:ilvl w:val="0"/>
          <w:numId w:val="35"/>
        </w:numPr>
        <w:spacing w:after="80" w:line="240" w:lineRule="auto"/>
        <w:contextualSpacing w:val="0"/>
      </w:pPr>
      <w:proofErr w:type="gramStart"/>
      <w:r>
        <w:t>Citizen</w:t>
      </w:r>
      <w:proofErr w:type="gramEnd"/>
      <w:r>
        <w:t xml:space="preserve"> Advisory Committee</w:t>
      </w:r>
      <w:r w:rsidR="00671612">
        <w:t xml:space="preserve"> has not been formed. </w:t>
      </w:r>
    </w:p>
    <w:p w14:paraId="706E231E" w14:textId="16CF1A55" w:rsidR="00BE50F9" w:rsidRPr="00A57E72" w:rsidRDefault="00BE50F9" w:rsidP="00C527A7">
      <w:pPr>
        <w:spacing w:line="240" w:lineRule="auto"/>
      </w:pPr>
    </w:p>
    <w:sectPr w:rsidR="00BE50F9" w:rsidRPr="00A57E72" w:rsidSect="00C527A7">
      <w:footerReference w:type="default" r:id="rId10"/>
      <w:footerReference w:type="first" r:id="rId11"/>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1FE51" w14:textId="77777777" w:rsidR="007A5D67" w:rsidRDefault="007A5D67" w:rsidP="007C54B2">
      <w:pPr>
        <w:spacing w:after="0" w:line="240" w:lineRule="auto"/>
      </w:pPr>
      <w:r>
        <w:separator/>
      </w:r>
    </w:p>
  </w:endnote>
  <w:endnote w:type="continuationSeparator" w:id="0">
    <w:p w14:paraId="083FC547" w14:textId="77777777" w:rsidR="007A5D67" w:rsidRDefault="007A5D67" w:rsidP="007C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90752"/>
      <w:docPartObj>
        <w:docPartGallery w:val="Page Numbers (Bottom of Page)"/>
        <w:docPartUnique/>
      </w:docPartObj>
    </w:sdtPr>
    <w:sdtEndPr/>
    <w:sdtContent>
      <w:p w14:paraId="04E26CF8" w14:textId="46A3336B" w:rsidR="007C54B2" w:rsidRDefault="007C54B2">
        <w:pPr>
          <w:pStyle w:val="Footer"/>
        </w:pPr>
        <w:r>
          <w:rPr>
            <w:noProof/>
          </w:rPr>
          <mc:AlternateContent>
            <mc:Choice Requires="wpg">
              <w:drawing>
                <wp:anchor distT="0" distB="0" distL="114300" distR="114300" simplePos="0" relativeHeight="251659264" behindDoc="0" locked="0" layoutInCell="1" allowOverlap="1" wp14:anchorId="601AF333" wp14:editId="333587CC">
                  <wp:simplePos x="0" y="0"/>
                  <wp:positionH relativeFrom="margin">
                    <wp:align>right</wp:align>
                  </wp:positionH>
                  <wp:positionV relativeFrom="page">
                    <wp:align>bottom</wp:align>
                  </wp:positionV>
                  <wp:extent cx="436880" cy="716915"/>
                  <wp:effectExtent l="7620" t="9525" r="12700" b="6985"/>
                  <wp:wrapNone/>
                  <wp:docPr id="166998632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86680756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4571753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4F0CFDC" w14:textId="77777777" w:rsidR="007C54B2" w:rsidRDefault="007C54B2">
                                <w:pPr>
                                  <w:pStyle w:val="Footer"/>
                                  <w:jc w:val="center"/>
                                  <w:rPr>
                                    <w:sz w:val="16"/>
                                    <w:szCs w:val="16"/>
                                  </w:rPr>
                                </w:pPr>
                                <w:r>
                                  <w:fldChar w:fldCharType="begin"/>
                                </w:r>
                                <w:r>
                                  <w:instrText xml:space="preserve"> PAGE    \* MERGEFORMAT </w:instrText>
                                </w:r>
                                <w:r>
                                  <w:fldChar w:fldCharType="separate"/>
                                </w:r>
                                <w:r>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AF333" id="Group 1"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" filled="f" strokecolor="#7f7f7f">
                    <v:textbox>
                      <w:txbxContent>
                        <w:p w14:paraId="04F0CFDC" w14:textId="77777777" w:rsidR="007C54B2" w:rsidRDefault="007C54B2">
                          <w:pPr>
                            <w:pStyle w:val="Footer"/>
                            <w:jc w:val="center"/>
                            <w:rPr>
                              <w:sz w:val="16"/>
                              <w:szCs w:val="16"/>
                            </w:rPr>
                          </w:pPr>
                          <w:r>
                            <w:fldChar w:fldCharType="begin"/>
                          </w:r>
                          <w:r>
                            <w:instrText xml:space="preserve"> PAGE    \* MERGEFORMAT </w:instrText>
                          </w:r>
                          <w:r>
                            <w:fldChar w:fldCharType="separate"/>
                          </w:r>
                          <w:r>
                            <w:rPr>
                              <w:noProof/>
                              <w:sz w:val="16"/>
                              <w:szCs w:val="16"/>
                            </w:rPr>
                            <w:t>2</w:t>
                          </w:r>
                          <w:r>
                            <w:rPr>
                              <w:noProof/>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3E13" w14:textId="25F503AA" w:rsidR="007C54B2" w:rsidRDefault="001E2B83">
    <w:pPr>
      <w:pStyle w:val="Footer"/>
    </w:pPr>
    <w:r>
      <w:rPr>
        <w:noProof/>
      </w:rPr>
      <w:drawing>
        <wp:anchor distT="0" distB="0" distL="114300" distR="114300" simplePos="0" relativeHeight="251658240" behindDoc="1" locked="0" layoutInCell="1" allowOverlap="1" wp14:anchorId="75292B4B" wp14:editId="2F1729AE">
          <wp:simplePos x="0" y="0"/>
          <wp:positionH relativeFrom="margin">
            <wp:posOffset>0</wp:posOffset>
          </wp:positionH>
          <wp:positionV relativeFrom="paragraph">
            <wp:posOffset>-34925</wp:posOffset>
          </wp:positionV>
          <wp:extent cx="914400" cy="470535"/>
          <wp:effectExtent l="0" t="0" r="0" b="5715"/>
          <wp:wrapTight wrapText="bothSides">
            <wp:wrapPolygon edited="0">
              <wp:start x="6750" y="0"/>
              <wp:lineTo x="4050" y="2623"/>
              <wp:lineTo x="450" y="10494"/>
              <wp:lineTo x="0" y="18364"/>
              <wp:lineTo x="0" y="20988"/>
              <wp:lineTo x="13500" y="20988"/>
              <wp:lineTo x="21150" y="19239"/>
              <wp:lineTo x="21150" y="10494"/>
              <wp:lineTo x="18450" y="4372"/>
              <wp:lineTo x="14850" y="0"/>
              <wp:lineTo x="6750" y="0"/>
            </wp:wrapPolygon>
          </wp:wrapTight>
          <wp:docPr id="659010598" name="Picture 3" descr="A picture containing text, font, graphics,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10598" name="Picture 3" descr="A picture containing text, font, graphics, poster&#10;&#10;Description automatically generated"/>
                  <pic:cNvPicPr>
                    <a:picLocks noChangeAspect="1" noChangeArrowheads="1"/>
                  </pic:cNvPicPr>
                </pic:nvPicPr>
                <pic:blipFill>
                  <a:blip r:embed="rId1">
                    <a:biLevel thresh="5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4D81" w14:textId="77777777" w:rsidR="007A5D67" w:rsidRDefault="007A5D67" w:rsidP="007C54B2">
      <w:pPr>
        <w:spacing w:after="0" w:line="240" w:lineRule="auto"/>
      </w:pPr>
      <w:r>
        <w:separator/>
      </w:r>
    </w:p>
  </w:footnote>
  <w:footnote w:type="continuationSeparator" w:id="0">
    <w:p w14:paraId="03628A21" w14:textId="77777777" w:rsidR="007A5D67" w:rsidRDefault="007A5D67" w:rsidP="007C54B2">
      <w:pPr>
        <w:spacing w:after="0" w:line="240" w:lineRule="auto"/>
      </w:pPr>
      <w:r>
        <w:continuationSeparator/>
      </w:r>
    </w:p>
  </w:footnote>
  <w:footnote w:id="1">
    <w:p w14:paraId="7F1B1F3A" w14:textId="0780DC33" w:rsidR="00D36C31" w:rsidRPr="00D36C31" w:rsidRDefault="00D36C31">
      <w:pPr>
        <w:pStyle w:val="FootnoteText"/>
        <w:rPr>
          <w:sz w:val="18"/>
          <w:szCs w:val="18"/>
        </w:rPr>
      </w:pPr>
      <w:r w:rsidRPr="00D36C31">
        <w:rPr>
          <w:rStyle w:val="FootnoteReference"/>
          <w:sz w:val="18"/>
          <w:szCs w:val="18"/>
        </w:rPr>
        <w:footnoteRef/>
      </w:r>
      <w:r w:rsidRPr="00D36C31">
        <w:rPr>
          <w:sz w:val="18"/>
          <w:szCs w:val="18"/>
        </w:rPr>
        <w:t xml:space="preserve"> The references to Table 30 or other tables are referring to the DEQ’s Aquatic Life Criteria (</w:t>
      </w:r>
      <w:hyperlink r:id="rId1" w:history="1">
        <w:r w:rsidRPr="00D36C31">
          <w:rPr>
            <w:rStyle w:val="Hyperlink"/>
            <w:sz w:val="18"/>
            <w:szCs w:val="18"/>
          </w:rPr>
          <w:t>https://www.oregon.gov/deq/FilterRulemakingDocs/tables303140.pdf</w:t>
        </w:r>
      </w:hyperlink>
      <w:r w:rsidRPr="00D36C31">
        <w:rPr>
          <w:sz w:val="18"/>
          <w:szCs w:val="18"/>
        </w:rPr>
        <w:t>). USFWS provided this and related tables as references following the initial meeting to discuss heavy metals.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025"/>
    <w:multiLevelType w:val="hybridMultilevel"/>
    <w:tmpl w:val="7756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37148"/>
    <w:multiLevelType w:val="hybridMultilevel"/>
    <w:tmpl w:val="DC16FC5E"/>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235066"/>
    <w:multiLevelType w:val="hybridMultilevel"/>
    <w:tmpl w:val="3FB8F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C39650A"/>
    <w:multiLevelType w:val="hybridMultilevel"/>
    <w:tmpl w:val="F7C0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87972"/>
    <w:multiLevelType w:val="hybridMultilevel"/>
    <w:tmpl w:val="B214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A4570"/>
    <w:multiLevelType w:val="hybridMultilevel"/>
    <w:tmpl w:val="DC16FC5E"/>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450B98"/>
    <w:multiLevelType w:val="multilevel"/>
    <w:tmpl w:val="F246FA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0DA2BA0"/>
    <w:multiLevelType w:val="multilevel"/>
    <w:tmpl w:val="064005F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00D389B"/>
    <w:multiLevelType w:val="hybridMultilevel"/>
    <w:tmpl w:val="8440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B7C67"/>
    <w:multiLevelType w:val="hybridMultilevel"/>
    <w:tmpl w:val="DC16FC5E"/>
    <w:lvl w:ilvl="0" w:tplc="3D1E03DA">
      <w:start w:val="1"/>
      <w:numFmt w:val="decimal"/>
      <w:lvlText w:val="%1."/>
      <w:lvlJc w:val="left"/>
      <w:pPr>
        <w:ind w:left="720" w:hanging="360"/>
      </w:pPr>
      <w:rPr>
        <w:rFonts w:hint="default"/>
        <w:b w:val="0"/>
        <w:bCs w:val="0"/>
      </w:rPr>
    </w:lvl>
    <w:lvl w:ilvl="1" w:tplc="EBD621F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EC6561"/>
    <w:multiLevelType w:val="hybridMultilevel"/>
    <w:tmpl w:val="DC16FC5E"/>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BA06FF"/>
    <w:multiLevelType w:val="hybridMultilevel"/>
    <w:tmpl w:val="2418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167D6"/>
    <w:multiLevelType w:val="hybridMultilevel"/>
    <w:tmpl w:val="8FC60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3674E7"/>
    <w:multiLevelType w:val="hybridMultilevel"/>
    <w:tmpl w:val="1018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00780"/>
    <w:multiLevelType w:val="hybridMultilevel"/>
    <w:tmpl w:val="C06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B2203"/>
    <w:multiLevelType w:val="hybridMultilevel"/>
    <w:tmpl w:val="894A4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03068"/>
    <w:multiLevelType w:val="hybridMultilevel"/>
    <w:tmpl w:val="73C82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55CF5"/>
    <w:multiLevelType w:val="hybridMultilevel"/>
    <w:tmpl w:val="CFD6C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835626">
    <w:abstractNumId w:val="8"/>
  </w:num>
  <w:num w:numId="2" w16cid:durableId="1881354082">
    <w:abstractNumId w:val="7"/>
  </w:num>
  <w:num w:numId="3" w16cid:durableId="719062975">
    <w:abstractNumId w:val="13"/>
  </w:num>
  <w:num w:numId="4" w16cid:durableId="967902674">
    <w:abstractNumId w:val="10"/>
  </w:num>
  <w:num w:numId="5" w16cid:durableId="2018847244">
    <w:abstractNumId w:val="16"/>
  </w:num>
  <w:num w:numId="6" w16cid:durableId="319114601">
    <w:abstractNumId w:val="11"/>
  </w:num>
  <w:num w:numId="7" w16cid:durableId="700860468">
    <w:abstractNumId w:val="1"/>
  </w:num>
  <w:num w:numId="8" w16cid:durableId="130757085">
    <w:abstractNumId w:val="3"/>
  </w:num>
  <w:num w:numId="9" w16cid:durableId="587081472">
    <w:abstractNumId w:val="3"/>
  </w:num>
  <w:num w:numId="10" w16cid:durableId="1864510254">
    <w:abstractNumId w:val="3"/>
  </w:num>
  <w:num w:numId="11" w16cid:durableId="1346515245">
    <w:abstractNumId w:val="3"/>
  </w:num>
  <w:num w:numId="12" w16cid:durableId="1442064239">
    <w:abstractNumId w:val="3"/>
  </w:num>
  <w:num w:numId="13" w16cid:durableId="338973750">
    <w:abstractNumId w:val="3"/>
  </w:num>
  <w:num w:numId="14" w16cid:durableId="362705276">
    <w:abstractNumId w:val="3"/>
  </w:num>
  <w:num w:numId="15" w16cid:durableId="2075666276">
    <w:abstractNumId w:val="3"/>
  </w:num>
  <w:num w:numId="16" w16cid:durableId="1739666435">
    <w:abstractNumId w:val="3"/>
  </w:num>
  <w:num w:numId="17" w16cid:durableId="1597177999">
    <w:abstractNumId w:val="3"/>
  </w:num>
  <w:num w:numId="18" w16cid:durableId="2134328642">
    <w:abstractNumId w:val="3"/>
  </w:num>
  <w:num w:numId="19" w16cid:durableId="169763885">
    <w:abstractNumId w:val="3"/>
  </w:num>
  <w:num w:numId="20" w16cid:durableId="1727025184">
    <w:abstractNumId w:val="3"/>
  </w:num>
  <w:num w:numId="21" w16cid:durableId="1603612606">
    <w:abstractNumId w:val="3"/>
  </w:num>
  <w:num w:numId="22" w16cid:durableId="1163818214">
    <w:abstractNumId w:val="3"/>
  </w:num>
  <w:num w:numId="23" w16cid:durableId="770511605">
    <w:abstractNumId w:val="3"/>
  </w:num>
  <w:num w:numId="24" w16cid:durableId="651057204">
    <w:abstractNumId w:val="3"/>
  </w:num>
  <w:num w:numId="25" w16cid:durableId="868445963">
    <w:abstractNumId w:val="3"/>
  </w:num>
  <w:num w:numId="26" w16cid:durableId="841824189">
    <w:abstractNumId w:val="3"/>
  </w:num>
  <w:num w:numId="27" w16cid:durableId="2025594112">
    <w:abstractNumId w:val="3"/>
  </w:num>
  <w:num w:numId="28" w16cid:durableId="797141558">
    <w:abstractNumId w:val="6"/>
  </w:num>
  <w:num w:numId="29" w16cid:durableId="1377004002">
    <w:abstractNumId w:val="9"/>
  </w:num>
  <w:num w:numId="30" w16cid:durableId="1979532112">
    <w:abstractNumId w:val="5"/>
  </w:num>
  <w:num w:numId="31" w16cid:durableId="490021522">
    <w:abstractNumId w:val="18"/>
  </w:num>
  <w:num w:numId="32" w16cid:durableId="1350644591">
    <w:abstractNumId w:val="12"/>
  </w:num>
  <w:num w:numId="33" w16cid:durableId="94904465">
    <w:abstractNumId w:val="2"/>
  </w:num>
  <w:num w:numId="34" w16cid:durableId="1307511694">
    <w:abstractNumId w:val="0"/>
  </w:num>
  <w:num w:numId="35" w16cid:durableId="1937321642">
    <w:abstractNumId w:val="15"/>
  </w:num>
  <w:num w:numId="36" w16cid:durableId="394089967">
    <w:abstractNumId w:val="14"/>
  </w:num>
  <w:num w:numId="37" w16cid:durableId="1189686368">
    <w:abstractNumId w:val="4"/>
  </w:num>
  <w:num w:numId="38" w16cid:durableId="16844330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Q0MTIxMzE1sjS2MLZU0lEKTi0uzszPAykwqgUANPhfFCwAAAA="/>
  </w:docVars>
  <w:rsids>
    <w:rsidRoot w:val="00DD181D"/>
    <w:rsid w:val="000029F4"/>
    <w:rsid w:val="00047A62"/>
    <w:rsid w:val="000C0401"/>
    <w:rsid w:val="000E70DB"/>
    <w:rsid w:val="000E72B7"/>
    <w:rsid w:val="0014127B"/>
    <w:rsid w:val="00163ADD"/>
    <w:rsid w:val="0018621E"/>
    <w:rsid w:val="001A06C8"/>
    <w:rsid w:val="001A7EFA"/>
    <w:rsid w:val="001E2B83"/>
    <w:rsid w:val="002035D8"/>
    <w:rsid w:val="002069C1"/>
    <w:rsid w:val="00223FE5"/>
    <w:rsid w:val="00251BBF"/>
    <w:rsid w:val="0025516F"/>
    <w:rsid w:val="002936D4"/>
    <w:rsid w:val="002A4EF8"/>
    <w:rsid w:val="002B0413"/>
    <w:rsid w:val="002C122A"/>
    <w:rsid w:val="002C4FE8"/>
    <w:rsid w:val="002D0827"/>
    <w:rsid w:val="00323A2E"/>
    <w:rsid w:val="00361516"/>
    <w:rsid w:val="00362C50"/>
    <w:rsid w:val="0037079E"/>
    <w:rsid w:val="00371312"/>
    <w:rsid w:val="00377044"/>
    <w:rsid w:val="003A3B17"/>
    <w:rsid w:val="003B06EF"/>
    <w:rsid w:val="003B1957"/>
    <w:rsid w:val="003C0D29"/>
    <w:rsid w:val="00400875"/>
    <w:rsid w:val="004503CE"/>
    <w:rsid w:val="004630A2"/>
    <w:rsid w:val="00463923"/>
    <w:rsid w:val="00473776"/>
    <w:rsid w:val="004836F2"/>
    <w:rsid w:val="00487DB3"/>
    <w:rsid w:val="00493A40"/>
    <w:rsid w:val="00495ADF"/>
    <w:rsid w:val="004A542C"/>
    <w:rsid w:val="004E548D"/>
    <w:rsid w:val="004E7C5F"/>
    <w:rsid w:val="004E7F4F"/>
    <w:rsid w:val="00510ED9"/>
    <w:rsid w:val="005455CF"/>
    <w:rsid w:val="00551A0A"/>
    <w:rsid w:val="0056510F"/>
    <w:rsid w:val="00567BB6"/>
    <w:rsid w:val="00572E19"/>
    <w:rsid w:val="005B6A81"/>
    <w:rsid w:val="005C72A8"/>
    <w:rsid w:val="005E3437"/>
    <w:rsid w:val="00602C36"/>
    <w:rsid w:val="00614922"/>
    <w:rsid w:val="00627C54"/>
    <w:rsid w:val="006646F5"/>
    <w:rsid w:val="00671612"/>
    <w:rsid w:val="006973EC"/>
    <w:rsid w:val="006F4D7B"/>
    <w:rsid w:val="0075437B"/>
    <w:rsid w:val="00756B4F"/>
    <w:rsid w:val="0075741B"/>
    <w:rsid w:val="007A5D67"/>
    <w:rsid w:val="007C36AD"/>
    <w:rsid w:val="007C54B2"/>
    <w:rsid w:val="007F2D0C"/>
    <w:rsid w:val="008106FE"/>
    <w:rsid w:val="008346B7"/>
    <w:rsid w:val="00861214"/>
    <w:rsid w:val="00895650"/>
    <w:rsid w:val="008A262D"/>
    <w:rsid w:val="008B2D48"/>
    <w:rsid w:val="008D486C"/>
    <w:rsid w:val="00943848"/>
    <w:rsid w:val="00992630"/>
    <w:rsid w:val="0099542B"/>
    <w:rsid w:val="009B2B49"/>
    <w:rsid w:val="009B712D"/>
    <w:rsid w:val="009E2B2F"/>
    <w:rsid w:val="00A10AF7"/>
    <w:rsid w:val="00A57E72"/>
    <w:rsid w:val="00AC326B"/>
    <w:rsid w:val="00AD03C0"/>
    <w:rsid w:val="00AE5E52"/>
    <w:rsid w:val="00B6533F"/>
    <w:rsid w:val="00B82A9A"/>
    <w:rsid w:val="00BA533C"/>
    <w:rsid w:val="00BC2293"/>
    <w:rsid w:val="00BC30BE"/>
    <w:rsid w:val="00BC71A8"/>
    <w:rsid w:val="00BE4C5B"/>
    <w:rsid w:val="00BE50F9"/>
    <w:rsid w:val="00BE741A"/>
    <w:rsid w:val="00C1768B"/>
    <w:rsid w:val="00C27477"/>
    <w:rsid w:val="00C527A7"/>
    <w:rsid w:val="00C55484"/>
    <w:rsid w:val="00C5573E"/>
    <w:rsid w:val="00C7016C"/>
    <w:rsid w:val="00C77AAE"/>
    <w:rsid w:val="00CF23D2"/>
    <w:rsid w:val="00D17D04"/>
    <w:rsid w:val="00D36C31"/>
    <w:rsid w:val="00D46FBD"/>
    <w:rsid w:val="00DB207B"/>
    <w:rsid w:val="00DC1BDB"/>
    <w:rsid w:val="00DC6482"/>
    <w:rsid w:val="00DD181D"/>
    <w:rsid w:val="00DE16DC"/>
    <w:rsid w:val="00DF5BE7"/>
    <w:rsid w:val="00E03182"/>
    <w:rsid w:val="00E0491B"/>
    <w:rsid w:val="00E24708"/>
    <w:rsid w:val="00E3415D"/>
    <w:rsid w:val="00E54B26"/>
    <w:rsid w:val="00E7119D"/>
    <w:rsid w:val="00E73F65"/>
    <w:rsid w:val="00E9681D"/>
    <w:rsid w:val="00EB2204"/>
    <w:rsid w:val="00EB3482"/>
    <w:rsid w:val="00EC7FC9"/>
    <w:rsid w:val="00EE5D3C"/>
    <w:rsid w:val="00EF36AB"/>
    <w:rsid w:val="00F036ED"/>
    <w:rsid w:val="00F35E10"/>
    <w:rsid w:val="00F36232"/>
    <w:rsid w:val="00F623B9"/>
    <w:rsid w:val="00F868EB"/>
    <w:rsid w:val="00F90CFE"/>
    <w:rsid w:val="00FA6146"/>
    <w:rsid w:val="00FF33E6"/>
    <w:rsid w:val="00FF7E83"/>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0DF6"/>
  <w15:chartTrackingRefBased/>
  <w15:docId w15:val="{4C3D1CEA-852D-4DC3-96AE-E0793056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482"/>
  </w:style>
  <w:style w:type="paragraph" w:styleId="Heading1">
    <w:name w:val="heading 1"/>
    <w:basedOn w:val="Normal"/>
    <w:next w:val="Normal"/>
    <w:link w:val="Heading1Char"/>
    <w:uiPriority w:val="9"/>
    <w:qFormat/>
    <w:rsid w:val="0018621E"/>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28"/>
      <w:szCs w:val="36"/>
    </w:rPr>
  </w:style>
  <w:style w:type="paragraph" w:styleId="Heading2">
    <w:name w:val="heading 2"/>
    <w:basedOn w:val="Normal"/>
    <w:next w:val="Normal"/>
    <w:link w:val="Heading2Char"/>
    <w:uiPriority w:val="9"/>
    <w:unhideWhenUsed/>
    <w:qFormat/>
    <w:rsid w:val="00DC6482"/>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DC6482"/>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DC6482"/>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C6482"/>
    <w:pPr>
      <w:keepNext/>
      <w:keepLines/>
      <w:numPr>
        <w:ilvl w:val="4"/>
        <w:numId w:val="27"/>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DC6482"/>
    <w:pPr>
      <w:keepNext/>
      <w:keepLines/>
      <w:numPr>
        <w:ilvl w:val="5"/>
        <w:numId w:val="27"/>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DC6482"/>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6482"/>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C6482"/>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21E"/>
    <w:rPr>
      <w:rFonts w:asciiTheme="majorHAnsi" w:eastAsiaTheme="majorEastAsia" w:hAnsiTheme="majorHAnsi" w:cstheme="majorBidi"/>
      <w:b/>
      <w:bCs/>
      <w:smallCaps/>
      <w:color w:val="000000" w:themeColor="text1"/>
      <w:sz w:val="28"/>
      <w:szCs w:val="36"/>
    </w:rPr>
  </w:style>
  <w:style w:type="character" w:customStyle="1" w:styleId="Heading2Char">
    <w:name w:val="Heading 2 Char"/>
    <w:basedOn w:val="DefaultParagraphFont"/>
    <w:link w:val="Heading2"/>
    <w:uiPriority w:val="9"/>
    <w:rsid w:val="00DC6482"/>
    <w:rPr>
      <w:rFonts w:asciiTheme="majorHAnsi" w:eastAsiaTheme="majorEastAsia" w:hAnsiTheme="majorHAnsi" w:cstheme="majorBidi"/>
      <w:b/>
      <w:bCs/>
      <w:smallCaps/>
      <w:color w:val="000000" w:themeColor="text1"/>
      <w:sz w:val="28"/>
      <w:szCs w:val="28"/>
    </w:rPr>
  </w:style>
  <w:style w:type="paragraph" w:styleId="ListParagraph">
    <w:name w:val="List Paragraph"/>
    <w:basedOn w:val="Normal"/>
    <w:uiPriority w:val="34"/>
    <w:qFormat/>
    <w:rsid w:val="00895650"/>
    <w:pPr>
      <w:ind w:left="720"/>
      <w:contextualSpacing/>
    </w:pPr>
  </w:style>
  <w:style w:type="paragraph" w:styleId="NoSpacing">
    <w:name w:val="No Spacing"/>
    <w:uiPriority w:val="1"/>
    <w:qFormat/>
    <w:rsid w:val="00DC6482"/>
    <w:pPr>
      <w:spacing w:after="0" w:line="240" w:lineRule="auto"/>
    </w:pPr>
  </w:style>
  <w:style w:type="paragraph" w:styleId="Revision">
    <w:name w:val="Revision"/>
    <w:hidden/>
    <w:uiPriority w:val="99"/>
    <w:semiHidden/>
    <w:rsid w:val="0075741B"/>
    <w:pPr>
      <w:spacing w:after="0" w:line="240" w:lineRule="auto"/>
    </w:pPr>
  </w:style>
  <w:style w:type="paragraph" w:styleId="Header">
    <w:name w:val="header"/>
    <w:basedOn w:val="Normal"/>
    <w:link w:val="HeaderChar"/>
    <w:uiPriority w:val="99"/>
    <w:unhideWhenUsed/>
    <w:rsid w:val="007C5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4B2"/>
  </w:style>
  <w:style w:type="paragraph" w:styleId="Footer">
    <w:name w:val="footer"/>
    <w:basedOn w:val="Normal"/>
    <w:link w:val="FooterChar"/>
    <w:uiPriority w:val="99"/>
    <w:unhideWhenUsed/>
    <w:rsid w:val="007C5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4B2"/>
  </w:style>
  <w:style w:type="table" w:styleId="TableGrid">
    <w:name w:val="Table Grid"/>
    <w:basedOn w:val="TableNormal"/>
    <w:uiPriority w:val="39"/>
    <w:rsid w:val="00D17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17D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DC648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DC648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DC6482"/>
    <w:rPr>
      <w:rFonts w:asciiTheme="majorHAnsi" w:eastAsiaTheme="majorEastAsia" w:hAnsiTheme="majorHAnsi" w:cstheme="majorBidi"/>
      <w:color w:val="000000" w:themeColor="text1"/>
      <w:sz w:val="56"/>
      <w:szCs w:val="56"/>
    </w:rPr>
  </w:style>
  <w:style w:type="character" w:customStyle="1" w:styleId="Heading3Char">
    <w:name w:val="Heading 3 Char"/>
    <w:basedOn w:val="DefaultParagraphFont"/>
    <w:link w:val="Heading3"/>
    <w:uiPriority w:val="9"/>
    <w:semiHidden/>
    <w:rsid w:val="00DC648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DC648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DC648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DC648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DC64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648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C6482"/>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DC648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DC6482"/>
    <w:rPr>
      <w:color w:val="5A5A5A" w:themeColor="text1" w:themeTint="A5"/>
      <w:spacing w:val="10"/>
    </w:rPr>
  </w:style>
  <w:style w:type="character" w:styleId="Strong">
    <w:name w:val="Strong"/>
    <w:basedOn w:val="DefaultParagraphFont"/>
    <w:uiPriority w:val="22"/>
    <w:qFormat/>
    <w:rsid w:val="00DC6482"/>
    <w:rPr>
      <w:b/>
      <w:bCs/>
      <w:color w:val="000000" w:themeColor="text1"/>
    </w:rPr>
  </w:style>
  <w:style w:type="character" w:styleId="Emphasis">
    <w:name w:val="Emphasis"/>
    <w:basedOn w:val="DefaultParagraphFont"/>
    <w:uiPriority w:val="20"/>
    <w:qFormat/>
    <w:rsid w:val="00DC6482"/>
    <w:rPr>
      <w:i/>
      <w:iCs/>
      <w:color w:val="auto"/>
    </w:rPr>
  </w:style>
  <w:style w:type="paragraph" w:styleId="Quote">
    <w:name w:val="Quote"/>
    <w:basedOn w:val="Normal"/>
    <w:next w:val="Normal"/>
    <w:link w:val="QuoteChar"/>
    <w:uiPriority w:val="29"/>
    <w:qFormat/>
    <w:rsid w:val="00DC6482"/>
    <w:pPr>
      <w:spacing w:before="160"/>
      <w:ind w:left="720" w:right="720"/>
    </w:pPr>
    <w:rPr>
      <w:i/>
      <w:iCs/>
      <w:color w:val="000000" w:themeColor="text1"/>
    </w:rPr>
  </w:style>
  <w:style w:type="character" w:customStyle="1" w:styleId="QuoteChar">
    <w:name w:val="Quote Char"/>
    <w:basedOn w:val="DefaultParagraphFont"/>
    <w:link w:val="Quote"/>
    <w:uiPriority w:val="29"/>
    <w:rsid w:val="00DC6482"/>
    <w:rPr>
      <w:i/>
      <w:iCs/>
      <w:color w:val="000000" w:themeColor="text1"/>
    </w:rPr>
  </w:style>
  <w:style w:type="paragraph" w:styleId="IntenseQuote">
    <w:name w:val="Intense Quote"/>
    <w:basedOn w:val="Normal"/>
    <w:next w:val="Normal"/>
    <w:link w:val="IntenseQuoteChar"/>
    <w:uiPriority w:val="30"/>
    <w:qFormat/>
    <w:rsid w:val="00DC648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DC6482"/>
    <w:rPr>
      <w:color w:val="000000" w:themeColor="text1"/>
      <w:shd w:val="clear" w:color="auto" w:fill="F2F2F2" w:themeFill="background1" w:themeFillShade="F2"/>
    </w:rPr>
  </w:style>
  <w:style w:type="character" w:styleId="SubtleEmphasis">
    <w:name w:val="Subtle Emphasis"/>
    <w:basedOn w:val="DefaultParagraphFont"/>
    <w:uiPriority w:val="19"/>
    <w:qFormat/>
    <w:rsid w:val="00DC6482"/>
    <w:rPr>
      <w:i/>
      <w:iCs/>
      <w:color w:val="404040" w:themeColor="text1" w:themeTint="BF"/>
    </w:rPr>
  </w:style>
  <w:style w:type="character" w:styleId="IntenseEmphasis">
    <w:name w:val="Intense Emphasis"/>
    <w:basedOn w:val="DefaultParagraphFont"/>
    <w:uiPriority w:val="21"/>
    <w:qFormat/>
    <w:rsid w:val="00DC6482"/>
    <w:rPr>
      <w:b/>
      <w:bCs/>
      <w:i/>
      <w:iCs/>
      <w:caps/>
    </w:rPr>
  </w:style>
  <w:style w:type="character" w:styleId="SubtleReference">
    <w:name w:val="Subtle Reference"/>
    <w:basedOn w:val="DefaultParagraphFont"/>
    <w:uiPriority w:val="31"/>
    <w:qFormat/>
    <w:rsid w:val="00DC648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6482"/>
    <w:rPr>
      <w:b/>
      <w:bCs/>
      <w:smallCaps/>
      <w:u w:val="single"/>
    </w:rPr>
  </w:style>
  <w:style w:type="character" w:styleId="BookTitle">
    <w:name w:val="Book Title"/>
    <w:basedOn w:val="DefaultParagraphFont"/>
    <w:uiPriority w:val="33"/>
    <w:qFormat/>
    <w:rsid w:val="00DC6482"/>
    <w:rPr>
      <w:b w:val="0"/>
      <w:bCs w:val="0"/>
      <w:smallCaps/>
      <w:spacing w:val="5"/>
    </w:rPr>
  </w:style>
  <w:style w:type="paragraph" w:styleId="TOCHeading">
    <w:name w:val="TOC Heading"/>
    <w:basedOn w:val="Heading1"/>
    <w:next w:val="Normal"/>
    <w:uiPriority w:val="39"/>
    <w:semiHidden/>
    <w:unhideWhenUsed/>
    <w:qFormat/>
    <w:rsid w:val="00DC6482"/>
    <w:pPr>
      <w:outlineLvl w:val="9"/>
    </w:pPr>
  </w:style>
  <w:style w:type="character" w:styleId="Hyperlink">
    <w:name w:val="Hyperlink"/>
    <w:basedOn w:val="DefaultParagraphFont"/>
    <w:uiPriority w:val="99"/>
    <w:unhideWhenUsed/>
    <w:rsid w:val="00D46FBD"/>
    <w:rPr>
      <w:color w:val="0563C1" w:themeColor="hyperlink"/>
      <w:u w:val="single"/>
    </w:rPr>
  </w:style>
  <w:style w:type="character" w:styleId="UnresolvedMention">
    <w:name w:val="Unresolved Mention"/>
    <w:basedOn w:val="DefaultParagraphFont"/>
    <w:uiPriority w:val="99"/>
    <w:semiHidden/>
    <w:unhideWhenUsed/>
    <w:rsid w:val="00D46FBD"/>
    <w:rPr>
      <w:color w:val="605E5C"/>
      <w:shd w:val="clear" w:color="auto" w:fill="E1DFDD"/>
    </w:rPr>
  </w:style>
  <w:style w:type="paragraph" w:styleId="FootnoteText">
    <w:name w:val="footnote text"/>
    <w:basedOn w:val="Normal"/>
    <w:link w:val="FootnoteTextChar"/>
    <w:uiPriority w:val="99"/>
    <w:semiHidden/>
    <w:unhideWhenUsed/>
    <w:rsid w:val="00D36C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C31"/>
    <w:rPr>
      <w:sz w:val="20"/>
      <w:szCs w:val="20"/>
    </w:rPr>
  </w:style>
  <w:style w:type="character" w:styleId="FootnoteReference">
    <w:name w:val="footnote reference"/>
    <w:basedOn w:val="DefaultParagraphFont"/>
    <w:uiPriority w:val="99"/>
    <w:semiHidden/>
    <w:unhideWhenUsed/>
    <w:rsid w:val="00D36C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8288">
      <w:bodyDiv w:val="1"/>
      <w:marLeft w:val="0"/>
      <w:marRight w:val="0"/>
      <w:marTop w:val="0"/>
      <w:marBottom w:val="0"/>
      <w:divBdr>
        <w:top w:val="none" w:sz="0" w:space="0" w:color="auto"/>
        <w:left w:val="none" w:sz="0" w:space="0" w:color="auto"/>
        <w:bottom w:val="none" w:sz="0" w:space="0" w:color="auto"/>
        <w:right w:val="none" w:sz="0" w:space="0" w:color="auto"/>
      </w:divBdr>
    </w:div>
    <w:div w:id="122970821">
      <w:bodyDiv w:val="1"/>
      <w:marLeft w:val="0"/>
      <w:marRight w:val="0"/>
      <w:marTop w:val="0"/>
      <w:marBottom w:val="0"/>
      <w:divBdr>
        <w:top w:val="none" w:sz="0" w:space="0" w:color="auto"/>
        <w:left w:val="none" w:sz="0" w:space="0" w:color="auto"/>
        <w:bottom w:val="none" w:sz="0" w:space="0" w:color="auto"/>
        <w:right w:val="none" w:sz="0" w:space="0" w:color="auto"/>
      </w:divBdr>
    </w:div>
    <w:div w:id="420031813">
      <w:bodyDiv w:val="1"/>
      <w:marLeft w:val="0"/>
      <w:marRight w:val="0"/>
      <w:marTop w:val="0"/>
      <w:marBottom w:val="0"/>
      <w:divBdr>
        <w:top w:val="none" w:sz="0" w:space="0" w:color="auto"/>
        <w:left w:val="none" w:sz="0" w:space="0" w:color="auto"/>
        <w:bottom w:val="none" w:sz="0" w:space="0" w:color="auto"/>
        <w:right w:val="none" w:sz="0" w:space="0" w:color="auto"/>
      </w:divBdr>
    </w:div>
    <w:div w:id="484782334">
      <w:bodyDiv w:val="1"/>
      <w:marLeft w:val="0"/>
      <w:marRight w:val="0"/>
      <w:marTop w:val="0"/>
      <w:marBottom w:val="0"/>
      <w:divBdr>
        <w:top w:val="none" w:sz="0" w:space="0" w:color="auto"/>
        <w:left w:val="none" w:sz="0" w:space="0" w:color="auto"/>
        <w:bottom w:val="none" w:sz="0" w:space="0" w:color="auto"/>
        <w:right w:val="none" w:sz="0" w:space="0" w:color="auto"/>
      </w:divBdr>
    </w:div>
    <w:div w:id="521358211">
      <w:bodyDiv w:val="1"/>
      <w:marLeft w:val="0"/>
      <w:marRight w:val="0"/>
      <w:marTop w:val="0"/>
      <w:marBottom w:val="0"/>
      <w:divBdr>
        <w:top w:val="none" w:sz="0" w:space="0" w:color="auto"/>
        <w:left w:val="none" w:sz="0" w:space="0" w:color="auto"/>
        <w:bottom w:val="none" w:sz="0" w:space="0" w:color="auto"/>
        <w:right w:val="none" w:sz="0" w:space="0" w:color="auto"/>
      </w:divBdr>
    </w:div>
    <w:div w:id="789318497">
      <w:bodyDiv w:val="1"/>
      <w:marLeft w:val="0"/>
      <w:marRight w:val="0"/>
      <w:marTop w:val="0"/>
      <w:marBottom w:val="0"/>
      <w:divBdr>
        <w:top w:val="none" w:sz="0" w:space="0" w:color="auto"/>
        <w:left w:val="none" w:sz="0" w:space="0" w:color="auto"/>
        <w:bottom w:val="none" w:sz="0" w:space="0" w:color="auto"/>
        <w:right w:val="none" w:sz="0" w:space="0" w:color="auto"/>
      </w:divBdr>
    </w:div>
    <w:div w:id="989870096">
      <w:bodyDiv w:val="1"/>
      <w:marLeft w:val="0"/>
      <w:marRight w:val="0"/>
      <w:marTop w:val="0"/>
      <w:marBottom w:val="0"/>
      <w:divBdr>
        <w:top w:val="none" w:sz="0" w:space="0" w:color="auto"/>
        <w:left w:val="none" w:sz="0" w:space="0" w:color="auto"/>
        <w:bottom w:val="none" w:sz="0" w:space="0" w:color="auto"/>
        <w:right w:val="none" w:sz="0" w:space="0" w:color="auto"/>
      </w:divBdr>
    </w:div>
    <w:div w:id="1055471820">
      <w:bodyDiv w:val="1"/>
      <w:marLeft w:val="0"/>
      <w:marRight w:val="0"/>
      <w:marTop w:val="0"/>
      <w:marBottom w:val="0"/>
      <w:divBdr>
        <w:top w:val="none" w:sz="0" w:space="0" w:color="auto"/>
        <w:left w:val="none" w:sz="0" w:space="0" w:color="auto"/>
        <w:bottom w:val="none" w:sz="0" w:space="0" w:color="auto"/>
        <w:right w:val="none" w:sz="0" w:space="0" w:color="auto"/>
      </w:divBdr>
    </w:div>
    <w:div w:id="1122572714">
      <w:bodyDiv w:val="1"/>
      <w:marLeft w:val="0"/>
      <w:marRight w:val="0"/>
      <w:marTop w:val="0"/>
      <w:marBottom w:val="0"/>
      <w:divBdr>
        <w:top w:val="none" w:sz="0" w:space="0" w:color="auto"/>
        <w:left w:val="none" w:sz="0" w:space="0" w:color="auto"/>
        <w:bottom w:val="none" w:sz="0" w:space="0" w:color="auto"/>
        <w:right w:val="none" w:sz="0" w:space="0" w:color="auto"/>
      </w:divBdr>
    </w:div>
    <w:div w:id="1284578899">
      <w:bodyDiv w:val="1"/>
      <w:marLeft w:val="0"/>
      <w:marRight w:val="0"/>
      <w:marTop w:val="0"/>
      <w:marBottom w:val="0"/>
      <w:divBdr>
        <w:top w:val="none" w:sz="0" w:space="0" w:color="auto"/>
        <w:left w:val="none" w:sz="0" w:space="0" w:color="auto"/>
        <w:bottom w:val="none" w:sz="0" w:space="0" w:color="auto"/>
        <w:right w:val="none" w:sz="0" w:space="0" w:color="auto"/>
      </w:divBdr>
    </w:div>
    <w:div w:id="137592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iscoverjohnday.com/grow" TargetMode="Externa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oregon.gov/deq/FilterRulemakingDocs/tables3031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8B98D-6764-49E9-89E2-4857FEDB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3181</TotalTime>
  <Pages>4</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Ducote</dc:creator>
  <cp:keywords/>
  <dc:description/>
  <cp:lastModifiedBy>Nick Ducote</cp:lastModifiedBy>
  <cp:revision>82</cp:revision>
  <dcterms:created xsi:type="dcterms:W3CDTF">2023-05-31T00:04:00Z</dcterms:created>
  <dcterms:modified xsi:type="dcterms:W3CDTF">2023-07-07T23:28:00Z</dcterms:modified>
</cp:coreProperties>
</file>