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3B" w:rsidRPr="005003E6" w:rsidRDefault="00F3023B" w:rsidP="00F3023B">
      <w:pPr>
        <w:rPr>
          <w:b/>
          <w:bCs/>
          <w:u w:val="single"/>
        </w:rPr>
      </w:pPr>
      <w:r w:rsidRPr="00402EC6">
        <w:rPr>
          <w:b/>
        </w:rPr>
        <w:t>TO:</w:t>
      </w:r>
      <w:r w:rsidRPr="00402EC6">
        <w:rPr>
          <w:b/>
        </w:rPr>
        <w:tab/>
      </w:r>
      <w:r>
        <w:rPr>
          <w:b/>
        </w:rPr>
        <w:tab/>
      </w:r>
      <w:r w:rsidRPr="00402EC6">
        <w:t>John Day City Council</w:t>
      </w:r>
    </w:p>
    <w:p w:rsidR="00F3023B" w:rsidRPr="002D33B7" w:rsidRDefault="00F3023B" w:rsidP="00F3023B"/>
    <w:p w:rsidR="00F3023B" w:rsidRPr="002D33B7" w:rsidRDefault="00F3023B" w:rsidP="00F3023B">
      <w:r w:rsidRPr="002D33B7">
        <w:rPr>
          <w:b/>
        </w:rPr>
        <w:t>FROM:</w:t>
      </w:r>
      <w:r w:rsidRPr="002D33B7">
        <w:rPr>
          <w:b/>
        </w:rPr>
        <w:tab/>
      </w:r>
      <w:r>
        <w:t>Nicholas Green</w:t>
      </w:r>
      <w:r w:rsidRPr="002D33B7">
        <w:t>, City Manager</w:t>
      </w:r>
    </w:p>
    <w:p w:rsidR="00F3023B" w:rsidRPr="002D33B7" w:rsidRDefault="00F3023B" w:rsidP="00F3023B"/>
    <w:p w:rsidR="00F3023B" w:rsidRPr="002D33B7" w:rsidRDefault="00F3023B" w:rsidP="00F3023B">
      <w:r w:rsidRPr="002D33B7">
        <w:rPr>
          <w:b/>
          <w:bCs/>
        </w:rPr>
        <w:t>DATE:</w:t>
      </w:r>
      <w:r w:rsidRPr="002D33B7">
        <w:rPr>
          <w:b/>
          <w:bCs/>
        </w:rPr>
        <w:tab/>
      </w:r>
      <w:r w:rsidRPr="002D33B7">
        <w:tab/>
      </w:r>
      <w:r w:rsidR="000C460F">
        <w:t>October 11</w:t>
      </w:r>
      <w:r w:rsidR="007E3E0D">
        <w:t>, 2016</w:t>
      </w:r>
    </w:p>
    <w:p w:rsidR="00F3023B" w:rsidRPr="002D33B7" w:rsidRDefault="00F3023B" w:rsidP="00F3023B"/>
    <w:p w:rsidR="00F3023B" w:rsidRDefault="00F3023B" w:rsidP="000C460F">
      <w:pPr>
        <w:ind w:left="1440" w:hanging="1440"/>
      </w:pPr>
      <w:r w:rsidRPr="002D33B7">
        <w:rPr>
          <w:b/>
        </w:rPr>
        <w:t>SUBJECT:</w:t>
      </w:r>
      <w:r w:rsidRPr="002D33B7">
        <w:rPr>
          <w:b/>
        </w:rPr>
        <w:tab/>
      </w:r>
      <w:r w:rsidR="000C460F">
        <w:t>Agenda Item #4</w:t>
      </w:r>
      <w:r w:rsidR="00EF32CE">
        <w:t xml:space="preserve">: </w:t>
      </w:r>
      <w:r w:rsidR="000C460F">
        <w:t>Discuss for Signature Agreement between City of John Day and Grant County Police Officer’s Association</w:t>
      </w:r>
    </w:p>
    <w:p w:rsidR="000C460F" w:rsidRDefault="000C460F" w:rsidP="000C460F">
      <w:pPr>
        <w:ind w:left="1440" w:hanging="1440"/>
      </w:pPr>
    </w:p>
    <w:p w:rsidR="000C460F" w:rsidRDefault="000C460F" w:rsidP="000C460F">
      <w:pPr>
        <w:rPr>
          <w:b/>
          <w:u w:val="single"/>
        </w:rPr>
      </w:pPr>
      <w:r>
        <w:rPr>
          <w:b/>
          <w:u w:val="single"/>
        </w:rPr>
        <w:t>DISCUSSION</w:t>
      </w:r>
    </w:p>
    <w:p w:rsidR="000C460F" w:rsidRPr="00310249" w:rsidRDefault="000C460F" w:rsidP="000C460F">
      <w:pPr>
        <w:rPr>
          <w:b/>
          <w:u w:val="single"/>
        </w:rPr>
      </w:pPr>
    </w:p>
    <w:p w:rsidR="000C460F" w:rsidRPr="003B7ED6" w:rsidRDefault="000C460F" w:rsidP="000C460F">
      <w:pPr>
        <w:rPr>
          <w:bCs/>
          <w:sz w:val="20"/>
        </w:rPr>
      </w:pPr>
      <w:r>
        <w:rPr>
          <w:bCs/>
        </w:rPr>
        <w:t>The City of John Day entered into negotiations with the Grant County Police Officer’s Association in February 2016 for the purpose bargaining the union contract that expired June 30, 2016.  The City and the Union have reached an agreement and we are now ready to ratify the union contract.</w:t>
      </w:r>
    </w:p>
    <w:p w:rsidR="000C460F" w:rsidRDefault="000C460F" w:rsidP="000C460F">
      <w:pPr>
        <w:rPr>
          <w:bCs/>
        </w:rPr>
      </w:pPr>
    </w:p>
    <w:p w:rsidR="000C460F" w:rsidRDefault="000C460F" w:rsidP="000C460F">
      <w:pPr>
        <w:rPr>
          <w:bCs/>
        </w:rPr>
      </w:pPr>
      <w:r>
        <w:rPr>
          <w:bCs/>
        </w:rPr>
        <w:t>Union attorney Becky Gallagher notified City Manager Green on Wednesday, September 28</w:t>
      </w:r>
      <w:r>
        <w:rPr>
          <w:bCs/>
          <w:vertAlign w:val="superscript"/>
        </w:rPr>
        <w:t xml:space="preserve"> </w:t>
      </w:r>
      <w:r>
        <w:rPr>
          <w:bCs/>
        </w:rPr>
        <w:t>that the Union had ratified the bargaining agreement. I will send you (via email) a copy of the agreement. A hard copy will be available at the City Council meeting.</w:t>
      </w:r>
    </w:p>
    <w:p w:rsidR="000C460F" w:rsidRDefault="000C460F" w:rsidP="000C460F">
      <w:pPr>
        <w:rPr>
          <w:bCs/>
        </w:rPr>
      </w:pPr>
    </w:p>
    <w:p w:rsidR="000C460F" w:rsidRDefault="000C460F" w:rsidP="000C460F">
      <w:pPr>
        <w:rPr>
          <w:bCs/>
        </w:rPr>
      </w:pPr>
      <w:r>
        <w:rPr>
          <w:bCs/>
        </w:rPr>
        <w:t>To facilitate your review of the contract, the substantive changes are as follows:</w:t>
      </w:r>
    </w:p>
    <w:p w:rsidR="000C460F" w:rsidRDefault="000C460F" w:rsidP="000C460F">
      <w:pPr>
        <w:rPr>
          <w:bCs/>
        </w:rPr>
      </w:pPr>
    </w:p>
    <w:p w:rsidR="000C460F" w:rsidRDefault="000C460F" w:rsidP="000C460F">
      <w:pPr>
        <w:ind w:left="720" w:hanging="720"/>
        <w:rPr>
          <w:bCs/>
        </w:rPr>
      </w:pPr>
      <w:r>
        <w:rPr>
          <w:bCs/>
        </w:rPr>
        <w:t>1.</w:t>
      </w:r>
      <w:r>
        <w:rPr>
          <w:bCs/>
        </w:rPr>
        <w:tab/>
        <w:t xml:space="preserve">Includes </w:t>
      </w:r>
      <w:r w:rsidRPr="000C460F">
        <w:rPr>
          <w:bCs/>
        </w:rPr>
        <w:t xml:space="preserve">part time employees who regularly work not less than </w:t>
      </w:r>
      <w:r>
        <w:rPr>
          <w:bCs/>
        </w:rPr>
        <w:t xml:space="preserve">twenty (20) hours per week </w:t>
      </w:r>
      <w:r w:rsidRPr="000C460F">
        <w:rPr>
          <w:bCs/>
        </w:rPr>
        <w:t>in the scope bargaining unit</w:t>
      </w:r>
      <w:r>
        <w:rPr>
          <w:bCs/>
        </w:rPr>
        <w:t>.</w:t>
      </w:r>
    </w:p>
    <w:p w:rsidR="000C460F" w:rsidRDefault="000C460F" w:rsidP="000C460F">
      <w:pPr>
        <w:ind w:left="720" w:hanging="720"/>
        <w:rPr>
          <w:bCs/>
        </w:rPr>
      </w:pPr>
    </w:p>
    <w:p w:rsidR="000C460F" w:rsidRDefault="000C460F" w:rsidP="000C460F">
      <w:pPr>
        <w:ind w:left="720" w:hanging="720"/>
        <w:rPr>
          <w:bCs/>
        </w:rPr>
      </w:pPr>
      <w:r>
        <w:rPr>
          <w:bCs/>
        </w:rPr>
        <w:t xml:space="preserve">2. </w:t>
      </w:r>
      <w:r>
        <w:rPr>
          <w:bCs/>
        </w:rPr>
        <w:tab/>
        <w:t>Includes ‘Wage Payback” clause under ORS 181A.620 requiring reimbursement of training expenses for employees who voluntarily leave City employment to work for another agency.</w:t>
      </w:r>
    </w:p>
    <w:p w:rsidR="000C460F" w:rsidRDefault="000C460F" w:rsidP="000C460F">
      <w:pPr>
        <w:ind w:left="720" w:hanging="720"/>
        <w:rPr>
          <w:bCs/>
        </w:rPr>
      </w:pPr>
    </w:p>
    <w:p w:rsidR="000C460F" w:rsidRDefault="000C460F" w:rsidP="000C460F">
      <w:pPr>
        <w:ind w:left="720" w:hanging="720"/>
        <w:rPr>
          <w:bCs/>
        </w:rPr>
      </w:pPr>
      <w:r>
        <w:rPr>
          <w:bCs/>
        </w:rPr>
        <w:t xml:space="preserve">3. </w:t>
      </w:r>
      <w:r>
        <w:rPr>
          <w:bCs/>
        </w:rPr>
        <w:tab/>
        <w:t>Increases employee leave bank donations to 40 hours per fiscal year, up from 24 hours.</w:t>
      </w:r>
    </w:p>
    <w:p w:rsidR="000C460F" w:rsidRDefault="000C460F" w:rsidP="000C460F">
      <w:pPr>
        <w:ind w:left="720" w:hanging="720"/>
        <w:rPr>
          <w:bCs/>
        </w:rPr>
      </w:pPr>
    </w:p>
    <w:p w:rsidR="000C460F" w:rsidRDefault="000C460F" w:rsidP="000C460F">
      <w:pPr>
        <w:ind w:left="720" w:hanging="720"/>
        <w:rPr>
          <w:bCs/>
        </w:rPr>
      </w:pPr>
      <w:r>
        <w:rPr>
          <w:bCs/>
        </w:rPr>
        <w:t xml:space="preserve">4. </w:t>
      </w:r>
      <w:r>
        <w:rPr>
          <w:bCs/>
        </w:rPr>
        <w:tab/>
        <w:t>Defines normal work period for part-time employees as not less than 80 hours per month.</w:t>
      </w:r>
      <w:r w:rsidRPr="000C460F">
        <w:rPr>
          <w:bCs/>
        </w:rPr>
        <w:t xml:space="preserve"> With the exception of the Funeral Leave benefit set forth in Article 15.11, part time employees shall accrue paid leave benefits at 50% of the accrual rate of full time employees</w:t>
      </w:r>
      <w:r>
        <w:rPr>
          <w:bCs/>
        </w:rPr>
        <w:t>.</w:t>
      </w:r>
    </w:p>
    <w:p w:rsidR="000C460F" w:rsidRDefault="000C460F" w:rsidP="000C460F">
      <w:pPr>
        <w:ind w:left="720" w:hanging="720"/>
        <w:rPr>
          <w:bCs/>
        </w:rPr>
      </w:pPr>
    </w:p>
    <w:p w:rsidR="000C460F" w:rsidRDefault="000C460F" w:rsidP="000C460F">
      <w:pPr>
        <w:ind w:left="720" w:hanging="720"/>
        <w:rPr>
          <w:bCs/>
        </w:rPr>
      </w:pPr>
      <w:r>
        <w:rPr>
          <w:bCs/>
        </w:rPr>
        <w:t>5.</w:t>
      </w:r>
      <w:r>
        <w:rPr>
          <w:bCs/>
        </w:rPr>
        <w:tab/>
        <w:t>Adds pattern of abuse clause allowing the City to require verification from a health care provider for any sick leave taken, regardless of whether the employee has been sick for more than three consecutive days.</w:t>
      </w:r>
    </w:p>
    <w:p w:rsidR="000C460F" w:rsidRDefault="000C460F" w:rsidP="000C460F">
      <w:pPr>
        <w:ind w:left="720" w:hanging="720"/>
        <w:rPr>
          <w:bCs/>
        </w:rPr>
      </w:pPr>
    </w:p>
    <w:p w:rsidR="000C460F" w:rsidRDefault="000C460F" w:rsidP="000C460F">
      <w:pPr>
        <w:ind w:left="720" w:hanging="720"/>
        <w:rPr>
          <w:bCs/>
        </w:rPr>
      </w:pPr>
      <w:r>
        <w:rPr>
          <w:bCs/>
        </w:rPr>
        <w:t>6.</w:t>
      </w:r>
      <w:r>
        <w:rPr>
          <w:bCs/>
        </w:rPr>
        <w:tab/>
      </w:r>
      <w:r w:rsidR="003B2CCF">
        <w:rPr>
          <w:bCs/>
        </w:rPr>
        <w:t>Sets “Call Out Pay” clause at two (2) hour minimum or actual time worked for all call staff, whichever is greater.</w:t>
      </w:r>
    </w:p>
    <w:p w:rsidR="003B2CCF" w:rsidRDefault="003B2CCF" w:rsidP="000C460F">
      <w:pPr>
        <w:ind w:left="720" w:hanging="720"/>
        <w:rPr>
          <w:bCs/>
        </w:rPr>
      </w:pPr>
    </w:p>
    <w:p w:rsidR="003B2CCF" w:rsidRDefault="003B2CCF" w:rsidP="000C460F">
      <w:pPr>
        <w:ind w:left="720" w:hanging="720"/>
        <w:rPr>
          <w:bCs/>
        </w:rPr>
      </w:pPr>
      <w:r>
        <w:rPr>
          <w:bCs/>
        </w:rPr>
        <w:t>7.</w:t>
      </w:r>
      <w:r>
        <w:rPr>
          <w:bCs/>
        </w:rPr>
        <w:tab/>
        <w:t>Commits City to paying employee’s 6% PERS contribution for the duration of the contract.</w:t>
      </w:r>
    </w:p>
    <w:p w:rsidR="003B2CCF" w:rsidRDefault="003B2CCF" w:rsidP="000C460F">
      <w:pPr>
        <w:ind w:left="720" w:hanging="720"/>
        <w:rPr>
          <w:bCs/>
        </w:rPr>
      </w:pPr>
    </w:p>
    <w:p w:rsidR="003B2CCF" w:rsidRDefault="003B2CCF" w:rsidP="000C460F">
      <w:pPr>
        <w:ind w:left="720" w:hanging="720"/>
        <w:rPr>
          <w:bCs/>
        </w:rPr>
      </w:pPr>
      <w:r>
        <w:rPr>
          <w:bCs/>
        </w:rPr>
        <w:t>8.</w:t>
      </w:r>
      <w:r>
        <w:rPr>
          <w:bCs/>
        </w:rPr>
        <w:tab/>
        <w:t>Increases employee wages 1% in FY16, 1.5% in FY17, and 2% in FY18.</w:t>
      </w:r>
    </w:p>
    <w:p w:rsidR="000C460F" w:rsidRDefault="000C460F" w:rsidP="000C460F">
      <w:pPr>
        <w:ind w:left="720" w:hanging="720"/>
        <w:rPr>
          <w:bCs/>
        </w:rPr>
      </w:pPr>
    </w:p>
    <w:p w:rsidR="000C460F" w:rsidRPr="00310249" w:rsidRDefault="000C460F" w:rsidP="000C460F"/>
    <w:p w:rsidR="000C460F" w:rsidRPr="00310249" w:rsidRDefault="003B2CCF" w:rsidP="000C460F">
      <w:pPr>
        <w:rPr>
          <w:b/>
          <w:u w:val="single"/>
        </w:rPr>
      </w:pPr>
      <w:r>
        <w:rPr>
          <w:b/>
          <w:u w:val="single"/>
        </w:rPr>
        <w:t>RECOMMENDATION</w:t>
      </w:r>
    </w:p>
    <w:p w:rsidR="000C460F" w:rsidRDefault="000C460F" w:rsidP="000C460F">
      <w:pPr>
        <w:rPr>
          <w:b/>
        </w:rPr>
      </w:pPr>
    </w:p>
    <w:p w:rsidR="000C460F" w:rsidRDefault="000C460F" w:rsidP="003B2CCF">
      <w:r>
        <w:t>The Administrative Committee has been involved in the negotiation process and has</w:t>
      </w:r>
      <w:r w:rsidR="003B2CCF">
        <w:t xml:space="preserve"> approved the above revisions. </w:t>
      </w:r>
      <w:r>
        <w:t xml:space="preserve">I recommend the John Day City Council allow Mayor Lundbom </w:t>
      </w:r>
      <w:r w:rsidR="003B2CCF">
        <w:t xml:space="preserve">and City Manager Green </w:t>
      </w:r>
      <w:r>
        <w:t xml:space="preserve">to sign the </w:t>
      </w:r>
      <w:r w:rsidR="003B2CCF">
        <w:t>2016-2019</w:t>
      </w:r>
      <w:r>
        <w:t xml:space="preserve"> Agreement between the City of John Day, Oregon and the Grant County Police Officers Association.</w:t>
      </w:r>
      <w:r>
        <w:rPr>
          <w:b/>
        </w:rPr>
        <w:br w:type="page"/>
      </w:r>
    </w:p>
    <w:p w:rsidR="003B2CCF" w:rsidRPr="005003E6" w:rsidRDefault="003B2CCF" w:rsidP="003B2CCF">
      <w:pPr>
        <w:rPr>
          <w:b/>
          <w:bCs/>
          <w:u w:val="single"/>
        </w:rPr>
      </w:pPr>
      <w:r w:rsidRPr="00402EC6">
        <w:rPr>
          <w:b/>
        </w:rPr>
        <w:lastRenderedPageBreak/>
        <w:t>TO:</w:t>
      </w:r>
      <w:r w:rsidRPr="00402EC6">
        <w:rPr>
          <w:b/>
        </w:rPr>
        <w:tab/>
      </w:r>
      <w:r>
        <w:rPr>
          <w:b/>
        </w:rPr>
        <w:tab/>
      </w:r>
      <w:r w:rsidRPr="00402EC6">
        <w:t>John Day City Council</w:t>
      </w:r>
    </w:p>
    <w:p w:rsidR="003B2CCF" w:rsidRPr="002D33B7" w:rsidRDefault="003B2CCF" w:rsidP="003B2CCF"/>
    <w:p w:rsidR="003B2CCF" w:rsidRPr="002D33B7" w:rsidRDefault="003B2CCF" w:rsidP="003B2CCF">
      <w:r w:rsidRPr="002D33B7">
        <w:rPr>
          <w:b/>
        </w:rPr>
        <w:t>FROM:</w:t>
      </w:r>
      <w:r w:rsidRPr="002D33B7">
        <w:rPr>
          <w:b/>
        </w:rPr>
        <w:tab/>
      </w:r>
      <w:r>
        <w:t>Nicholas Green</w:t>
      </w:r>
      <w:r w:rsidRPr="002D33B7">
        <w:t>, City Manager</w:t>
      </w:r>
    </w:p>
    <w:p w:rsidR="003B2CCF" w:rsidRPr="002D33B7" w:rsidRDefault="003B2CCF" w:rsidP="003B2CCF"/>
    <w:p w:rsidR="003B2CCF" w:rsidRPr="002D33B7" w:rsidRDefault="003B2CCF" w:rsidP="003B2CCF">
      <w:r w:rsidRPr="002D33B7">
        <w:rPr>
          <w:b/>
          <w:bCs/>
        </w:rPr>
        <w:t>DATE:</w:t>
      </w:r>
      <w:r w:rsidRPr="002D33B7">
        <w:rPr>
          <w:b/>
          <w:bCs/>
        </w:rPr>
        <w:tab/>
      </w:r>
      <w:r w:rsidRPr="002D33B7">
        <w:tab/>
      </w:r>
      <w:r>
        <w:t>October 11, 2016</w:t>
      </w:r>
    </w:p>
    <w:p w:rsidR="003B2CCF" w:rsidRPr="002D33B7" w:rsidRDefault="003B2CCF" w:rsidP="003B2CCF"/>
    <w:p w:rsidR="003B2CCF" w:rsidRDefault="003B2CCF" w:rsidP="003B2CCF">
      <w:pPr>
        <w:ind w:left="1440" w:hanging="1440"/>
      </w:pPr>
      <w:r w:rsidRPr="002D33B7">
        <w:rPr>
          <w:b/>
        </w:rPr>
        <w:t>SUBJECT:</w:t>
      </w:r>
      <w:r w:rsidRPr="002D33B7">
        <w:rPr>
          <w:b/>
        </w:rPr>
        <w:tab/>
      </w:r>
      <w:r>
        <w:t>Agenda Item #5: Review and Discuss Canyon City Water and Sewer Agreements</w:t>
      </w:r>
    </w:p>
    <w:p w:rsidR="003B2CCF" w:rsidRDefault="003B2CCF" w:rsidP="003B2CCF">
      <w:pPr>
        <w:tabs>
          <w:tab w:val="left" w:pos="360"/>
        </w:tabs>
      </w:pPr>
      <w:r>
        <w:tab/>
      </w:r>
      <w:r>
        <w:tab/>
      </w:r>
    </w:p>
    <w:p w:rsidR="003B2CCF" w:rsidRDefault="003B2CCF" w:rsidP="003B2CCF">
      <w:pPr>
        <w:tabs>
          <w:tab w:val="left" w:pos="360"/>
        </w:tabs>
      </w:pPr>
      <w:r>
        <w:tab/>
      </w:r>
      <w:r>
        <w:tab/>
        <w:t>Attachment(s)</w:t>
      </w:r>
    </w:p>
    <w:p w:rsidR="00AF59A7" w:rsidRDefault="00AF59A7" w:rsidP="003B2CCF">
      <w:pPr>
        <w:pStyle w:val="ListParagraph"/>
        <w:numPr>
          <w:ilvl w:val="0"/>
          <w:numId w:val="13"/>
        </w:numPr>
        <w:tabs>
          <w:tab w:val="left" w:pos="360"/>
        </w:tabs>
        <w:contextualSpacing w:val="0"/>
      </w:pPr>
      <w:r>
        <w:t>Summary of Sewer Expenditures from FY07 – FY16</w:t>
      </w:r>
    </w:p>
    <w:p w:rsidR="003B2CCF" w:rsidRDefault="003B2CCF" w:rsidP="003B2CCF">
      <w:pPr>
        <w:pStyle w:val="ListParagraph"/>
        <w:numPr>
          <w:ilvl w:val="0"/>
          <w:numId w:val="13"/>
        </w:numPr>
        <w:tabs>
          <w:tab w:val="left" w:pos="360"/>
        </w:tabs>
        <w:contextualSpacing w:val="0"/>
      </w:pPr>
      <w:r>
        <w:t>Amendment No. 1 to First Amended and Restated IGA for Sewerage Services</w:t>
      </w:r>
    </w:p>
    <w:p w:rsidR="003B2CCF" w:rsidRPr="00146821" w:rsidRDefault="003B2CCF" w:rsidP="003B2CCF">
      <w:pPr>
        <w:pStyle w:val="ListParagraph"/>
        <w:numPr>
          <w:ilvl w:val="0"/>
          <w:numId w:val="13"/>
        </w:numPr>
        <w:tabs>
          <w:tab w:val="left" w:pos="360"/>
        </w:tabs>
        <w:contextualSpacing w:val="0"/>
      </w:pPr>
      <w:r>
        <w:t>Amendment No. 1 to First Amended and Restated Water Sale Agreement</w:t>
      </w:r>
    </w:p>
    <w:p w:rsidR="003B2CCF" w:rsidRDefault="003B2CCF" w:rsidP="003B2CCF">
      <w:pPr>
        <w:rPr>
          <w:b/>
        </w:rPr>
      </w:pPr>
    </w:p>
    <w:p w:rsidR="00FA24CB" w:rsidRDefault="00FA24CB" w:rsidP="003B2CCF">
      <w:pPr>
        <w:rPr>
          <w:b/>
          <w:u w:val="single"/>
        </w:rPr>
      </w:pPr>
      <w:r>
        <w:rPr>
          <w:b/>
          <w:u w:val="single"/>
        </w:rPr>
        <w:t>BACKGROUND</w:t>
      </w:r>
    </w:p>
    <w:p w:rsidR="00FA24CB" w:rsidRDefault="00FA24CB" w:rsidP="003B2CCF">
      <w:pPr>
        <w:rPr>
          <w:b/>
          <w:u w:val="single"/>
        </w:rPr>
      </w:pPr>
    </w:p>
    <w:p w:rsidR="00FA24CB" w:rsidRPr="00FA24CB" w:rsidRDefault="00F44E1F" w:rsidP="003B2CCF">
      <w:r>
        <w:t>Canyon City’s payments on their sewer bills for the first quarter of FY16 have been significantly lower than what was invoiced and what was budgeted for. The Public Works Committees for both cities met on February 22</w:t>
      </w:r>
      <w:r w:rsidRPr="00F44E1F">
        <w:rPr>
          <w:vertAlign w:val="superscript"/>
        </w:rPr>
        <w:t>nd</w:t>
      </w:r>
      <w:r>
        <w:t>, 2016 to discuss and review the First Amended and Restated Water Agreement set to expire on June 30</w:t>
      </w:r>
      <w:r w:rsidRPr="00F44E1F">
        <w:rPr>
          <w:vertAlign w:val="superscript"/>
        </w:rPr>
        <w:t>th</w:t>
      </w:r>
      <w:r>
        <w:t xml:space="preserve">. </w:t>
      </w:r>
      <w:r w:rsidRPr="00F44E1F">
        <w:t>It was the consensus of both Public Works Committees to propose to their City Councils to revise the Agreement to reflect a special water rate for the Town of Canyon City to $6.50/1,000</w:t>
      </w:r>
      <w:r w:rsidR="00AF59A7">
        <w:t xml:space="preserve"> gallons, </w:t>
      </w:r>
      <w:r>
        <w:t xml:space="preserve">to </w:t>
      </w:r>
      <w:r w:rsidR="00AF59A7">
        <w:t>continue to use the EDU-</w:t>
      </w:r>
      <w:r w:rsidRPr="00F44E1F">
        <w:t xml:space="preserve">based formula </w:t>
      </w:r>
      <w:r>
        <w:t xml:space="preserve">for sewer service, </w:t>
      </w:r>
      <w:r w:rsidRPr="00F44E1F">
        <w:t>and</w:t>
      </w:r>
      <w:r w:rsidR="00AF59A7">
        <w:t xml:space="preserve"> to</w:t>
      </w:r>
      <w:r w:rsidRPr="00F44E1F">
        <w:t xml:space="preserve"> bring back the recommendation to each of the City Councils </w:t>
      </w:r>
      <w:r>
        <w:t xml:space="preserve">in March. The new agreement however was never completed or signed by either Council. </w:t>
      </w:r>
      <w:r w:rsidR="00AF59A7">
        <w:t>Based on the February negotiations, Canyon City was budgeted to pay a total of $</w:t>
      </w:r>
      <w:r w:rsidR="000320C0">
        <w:t>71,830 for sewer service in FY16. Their average annual payment over the past 10 years has been $51,447.</w:t>
      </w:r>
    </w:p>
    <w:p w:rsidR="00FA24CB" w:rsidRDefault="00FA24CB" w:rsidP="003B2CCF">
      <w:pPr>
        <w:rPr>
          <w:b/>
          <w:u w:val="single"/>
        </w:rPr>
      </w:pPr>
    </w:p>
    <w:p w:rsidR="003B2CCF" w:rsidRDefault="003B2CCF" w:rsidP="003B2CCF">
      <w:pPr>
        <w:rPr>
          <w:b/>
          <w:u w:val="single"/>
        </w:rPr>
      </w:pPr>
      <w:r>
        <w:rPr>
          <w:b/>
          <w:u w:val="single"/>
        </w:rPr>
        <w:t>DISCUSSION</w:t>
      </w:r>
    </w:p>
    <w:p w:rsidR="003B2CCF" w:rsidRPr="00310249" w:rsidRDefault="003B2CCF" w:rsidP="003B2CCF">
      <w:pPr>
        <w:rPr>
          <w:b/>
          <w:u w:val="single"/>
        </w:rPr>
      </w:pPr>
      <w:r w:rsidRPr="00310249">
        <w:rPr>
          <w:b/>
          <w:u w:val="single"/>
        </w:rPr>
        <w:t xml:space="preserve"> </w:t>
      </w:r>
    </w:p>
    <w:p w:rsidR="003B2CCF" w:rsidRDefault="00F44E1F" w:rsidP="003B2CCF">
      <w:pPr>
        <w:rPr>
          <w:bCs/>
        </w:rPr>
      </w:pPr>
      <w:r>
        <w:rPr>
          <w:bCs/>
        </w:rPr>
        <w:t xml:space="preserve">The City of John Day continued to invoice Canyon City in FY16 for the sewer service based on the EDU agreement reached in February, but the payments the City received were for less than the amount invoiced. </w:t>
      </w:r>
      <w:r w:rsidR="003B2CCF">
        <w:rPr>
          <w:bCs/>
        </w:rPr>
        <w:t xml:space="preserve">City Manager Green met with Canyon City Recorder Corry Rider to discuss </w:t>
      </w:r>
      <w:r w:rsidR="00FA24CB">
        <w:rPr>
          <w:bCs/>
        </w:rPr>
        <w:t>Canyon City’s payments for the months of Ju</w:t>
      </w:r>
      <w:r>
        <w:rPr>
          <w:bCs/>
        </w:rPr>
        <w:t xml:space="preserve">ly, August, and September 2016. </w:t>
      </w:r>
      <w:r w:rsidR="00FA24CB">
        <w:rPr>
          <w:bCs/>
        </w:rPr>
        <w:t>Mr. Rider informed City Manager Green that the Canyon City Council made a formal motion during their July City Council meeting to not pay the amount agreed upon during the Februar</w:t>
      </w:r>
      <w:r w:rsidR="00AF59A7">
        <w:rPr>
          <w:bCs/>
        </w:rPr>
        <w:t>y negotiations between the two C</w:t>
      </w:r>
      <w:r w:rsidR="00FA24CB">
        <w:rPr>
          <w:bCs/>
        </w:rPr>
        <w:t>ity’s public works committees.</w:t>
      </w:r>
      <w:r>
        <w:rPr>
          <w:bCs/>
        </w:rPr>
        <w:t xml:space="preserve"> City Manager Green was present during the July City Council meeting but was excused before the motion was made and was unaware that it was an item on the agenda.</w:t>
      </w:r>
    </w:p>
    <w:p w:rsidR="00FA24CB" w:rsidRDefault="00FA24CB" w:rsidP="003B2CCF">
      <w:pPr>
        <w:rPr>
          <w:bCs/>
        </w:rPr>
      </w:pPr>
    </w:p>
    <w:p w:rsidR="00AF59A7" w:rsidRDefault="00FA24CB" w:rsidP="00DA6969">
      <w:pPr>
        <w:rPr>
          <w:bCs/>
        </w:rPr>
      </w:pPr>
      <w:r>
        <w:rPr>
          <w:bCs/>
        </w:rPr>
        <w:t>City Manager Green asked Mr. Rider why the City of John Day was not informed of this motion previously and why Canyon City chose not to communicate their decision to John</w:t>
      </w:r>
      <w:r w:rsidR="00AF59A7">
        <w:rPr>
          <w:bCs/>
        </w:rPr>
        <w:t xml:space="preserve"> Day</w:t>
      </w:r>
      <w:r>
        <w:rPr>
          <w:bCs/>
        </w:rPr>
        <w:t>. He also asked why the Canyon City Council chose to unilaterally determine what rate structure they would follow without consulting John Day as their service provider. He stated that the Council felt the negotiated rate was unfair</w:t>
      </w:r>
      <w:r w:rsidR="00F44E1F">
        <w:rPr>
          <w:bCs/>
        </w:rPr>
        <w:t xml:space="preserve"> and this was the way they chose to communicate it. He also explained that Canyon City chose to remove the contingency fund and the transfer to police, and to reset their rate from the 24.69% EDU rate to 15%</w:t>
      </w:r>
      <w:r w:rsidR="00AF59A7">
        <w:rPr>
          <w:bCs/>
        </w:rPr>
        <w:t>. These changes will reduce their monthly payment by $1,417 and would result in a $17,005 budget deficit for FY16 were they to continue.</w:t>
      </w:r>
    </w:p>
    <w:p w:rsidR="00CA629F" w:rsidRDefault="00CA629F" w:rsidP="00DA6969">
      <w:pPr>
        <w:rPr>
          <w:bCs/>
        </w:rPr>
      </w:pPr>
    </w:p>
    <w:p w:rsidR="00AF59A7" w:rsidRDefault="00CA629F" w:rsidP="00DA6969">
      <w:pPr>
        <w:rPr>
          <w:bCs/>
        </w:rPr>
      </w:pPr>
      <w:r>
        <w:rPr>
          <w:bCs/>
        </w:rPr>
        <w:t xml:space="preserve">Part of the challenge with the current process may be the fluctuation in the rate structure. At times it is perceived to be in Canyon City’s benefit (when based on population and flow rate), at times it is perceived to be in John Day’s benefit (when based on EDUs). Discussing changes as a percentage rather than a whole dollar amount can also be misleading, as a percentage increase may be large but result in a nominal change in real payments. Figure 1 shows the actual share of the total cost (in dollars) between the two cities. Figure 2 shows the variation in Canyon City’s real payments since FY07 (in dollars). </w:t>
      </w:r>
    </w:p>
    <w:p w:rsidR="00CA629F" w:rsidRDefault="00CA629F" w:rsidP="00DA6969">
      <w:pPr>
        <w:rPr>
          <w:b/>
          <w:u w:val="single"/>
        </w:rPr>
      </w:pPr>
    </w:p>
    <w:p w:rsidR="00CA629F" w:rsidRDefault="00CA629F" w:rsidP="00CA629F">
      <w:pPr>
        <w:keepNext/>
      </w:pPr>
      <w:r>
        <w:rPr>
          <w:noProof/>
        </w:rPr>
        <w:drawing>
          <wp:inline distT="0" distB="0" distL="0" distR="0" wp14:anchorId="47D66FE0" wp14:editId="088EBA9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A629F" w:rsidRDefault="00CA629F" w:rsidP="00CA629F">
      <w:pPr>
        <w:pStyle w:val="Caption"/>
        <w:rPr>
          <w:b/>
          <w:u w:val="single"/>
        </w:rPr>
      </w:pPr>
      <w:r>
        <w:t xml:space="preserve">Figure </w:t>
      </w:r>
      <w:fldSimple w:instr=" SEQ Figure \* ARABIC ">
        <w:r>
          <w:rPr>
            <w:noProof/>
          </w:rPr>
          <w:t>1</w:t>
        </w:r>
      </w:fldSimple>
      <w:r>
        <w:t>. FY07-FY17 Payments - John Day and Canyon City</w:t>
      </w:r>
    </w:p>
    <w:p w:rsidR="00CA629F" w:rsidRDefault="00CA629F" w:rsidP="00DA6969">
      <w:pPr>
        <w:rPr>
          <w:b/>
          <w:u w:val="single"/>
        </w:rPr>
      </w:pPr>
    </w:p>
    <w:p w:rsidR="00CA629F" w:rsidRDefault="00CA629F" w:rsidP="00CA629F">
      <w:pPr>
        <w:keepNext/>
      </w:pPr>
      <w:r>
        <w:rPr>
          <w:noProof/>
        </w:rPr>
        <w:drawing>
          <wp:inline distT="0" distB="0" distL="0" distR="0" wp14:anchorId="195300E9" wp14:editId="2056A83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629F" w:rsidRDefault="00CA629F" w:rsidP="00CA629F">
      <w:pPr>
        <w:pStyle w:val="Caption"/>
        <w:rPr>
          <w:b/>
          <w:u w:val="single"/>
        </w:rPr>
      </w:pPr>
      <w:r>
        <w:t xml:space="preserve">Figure </w:t>
      </w:r>
      <w:fldSimple w:instr=" SEQ Figure \* ARABIC ">
        <w:r>
          <w:rPr>
            <w:noProof/>
          </w:rPr>
          <w:t>2</w:t>
        </w:r>
      </w:fldSimple>
      <w:r>
        <w:t>. Payment Variation FY07-FY17 -- Canyon City</w:t>
      </w:r>
    </w:p>
    <w:p w:rsidR="00CA629F" w:rsidRDefault="00CA629F" w:rsidP="00DA6969">
      <w:r>
        <w:t>As shown by the trendline in Figure 2, on average Canyon City’s payments have increased by $2,147 annually over the 11-year period. However, the large fluctuations from year to year mask this trend. It is also difficult for any municipality to adjust to large fluctuations in expenditure from year to year.</w:t>
      </w:r>
    </w:p>
    <w:p w:rsidR="00CA629F" w:rsidRDefault="00CA629F" w:rsidP="00DA6969"/>
    <w:p w:rsidR="00CA629F" w:rsidRPr="00E75C5F" w:rsidRDefault="00CA629F" w:rsidP="00DA6969">
      <w:pPr>
        <w:rPr>
          <w:u w:val="single"/>
        </w:rPr>
      </w:pPr>
      <w:r w:rsidRPr="00E75C5F">
        <w:rPr>
          <w:u w:val="single"/>
        </w:rPr>
        <w:t xml:space="preserve">Options for resolution: </w:t>
      </w:r>
    </w:p>
    <w:p w:rsidR="00CA629F" w:rsidRDefault="00CA629F" w:rsidP="00CA629F">
      <w:pPr>
        <w:pStyle w:val="ListParagraph"/>
        <w:numPr>
          <w:ilvl w:val="0"/>
          <w:numId w:val="15"/>
        </w:numPr>
      </w:pPr>
      <w:r>
        <w:t>John Day can enforce the February agreement as it stands (status quo). As the service recipient, Canyon City’s motion is not binding on John Day.</w:t>
      </w:r>
    </w:p>
    <w:p w:rsidR="00CA629F" w:rsidRDefault="00CA629F" w:rsidP="00CA629F">
      <w:pPr>
        <w:pStyle w:val="ListParagraph"/>
        <w:numPr>
          <w:ilvl w:val="0"/>
          <w:numId w:val="15"/>
        </w:numPr>
      </w:pPr>
      <w:r>
        <w:t>John Day can reduce the $50,000 planned expenditure for digester cleanout in this year, returning Canyon City and John Day’s payments to near their FY16 levels.</w:t>
      </w:r>
    </w:p>
    <w:p w:rsidR="00CA629F" w:rsidRPr="00CA629F" w:rsidRDefault="00CA629F" w:rsidP="00CA629F">
      <w:pPr>
        <w:pStyle w:val="ListParagraph"/>
        <w:numPr>
          <w:ilvl w:val="0"/>
          <w:numId w:val="15"/>
        </w:numPr>
      </w:pPr>
      <w:r>
        <w:t xml:space="preserve">John Day can offer Canyon City a fixed rate of </w:t>
      </w:r>
      <w:r w:rsidR="00E75C5F">
        <w:t xml:space="preserve">$51,447 (10-year average cost) with an annual increase of $2,147 to provide Canyon City with more accurate planning guidance. </w:t>
      </w:r>
    </w:p>
    <w:p w:rsidR="00F44E1F" w:rsidRDefault="00F44E1F" w:rsidP="00DA6969">
      <w:pPr>
        <w:rPr>
          <w:b/>
          <w:u w:val="single"/>
        </w:rPr>
      </w:pPr>
      <w:r>
        <w:rPr>
          <w:b/>
          <w:u w:val="single"/>
        </w:rPr>
        <w:t>NEXT STEPS</w:t>
      </w:r>
    </w:p>
    <w:p w:rsidR="00F44E1F" w:rsidRDefault="00F44E1F" w:rsidP="00DA6969">
      <w:pPr>
        <w:rPr>
          <w:b/>
          <w:u w:val="single"/>
        </w:rPr>
      </w:pPr>
    </w:p>
    <w:p w:rsidR="00F3023B" w:rsidRDefault="00F44E1F" w:rsidP="00DA6969">
      <w:r>
        <w:t xml:space="preserve">City Manager Green contacted the city attorney </w:t>
      </w:r>
      <w:r w:rsidR="00AF59A7">
        <w:t>and received the amendments included in the packet</w:t>
      </w:r>
      <w:r>
        <w:t xml:space="preserve">. These agreements </w:t>
      </w:r>
      <w:r w:rsidR="00AF59A7">
        <w:t>continue</w:t>
      </w:r>
      <w:r>
        <w:t xml:space="preserve"> the water rate and EDU formula discussed during the February meetings. </w:t>
      </w:r>
      <w:r w:rsidR="00AF59A7">
        <w:t>They also require Canyon City to bring their payments current upon signing the a</w:t>
      </w:r>
      <w:r>
        <w:t>greement</w:t>
      </w:r>
      <w:r w:rsidR="00AF59A7">
        <w:t>. City Manager Green is scheduled to meet with the Canyon City Council on October 18</w:t>
      </w:r>
      <w:r w:rsidR="00AF59A7" w:rsidRPr="00AF59A7">
        <w:rPr>
          <w:vertAlign w:val="superscript"/>
        </w:rPr>
        <w:t>th</w:t>
      </w:r>
      <w:r w:rsidR="00E75C5F">
        <w:t xml:space="preserve"> to review and discuss John Day’s position on this issue.</w:t>
      </w:r>
      <w:bookmarkStart w:id="0" w:name="_GoBack"/>
      <w:bookmarkEnd w:id="0"/>
      <w:r w:rsidR="00AF59A7">
        <w:t xml:space="preserve"> </w:t>
      </w:r>
      <w:r w:rsidR="00F3023B">
        <w:tab/>
      </w:r>
    </w:p>
    <w:p w:rsidR="00F3023B" w:rsidRDefault="00F3023B" w:rsidP="00F3023B"/>
    <w:p w:rsidR="00CA629F" w:rsidRDefault="00CA629F">
      <w:pPr>
        <w:spacing w:after="200" w:line="276" w:lineRule="auto"/>
        <w:rPr>
          <w:b/>
        </w:rPr>
      </w:pPr>
      <w:r>
        <w:rPr>
          <w:b/>
        </w:rPr>
        <w:br w:type="page"/>
      </w:r>
    </w:p>
    <w:p w:rsidR="008F327A" w:rsidRPr="005003E6" w:rsidRDefault="008F327A" w:rsidP="008F327A">
      <w:pPr>
        <w:rPr>
          <w:b/>
          <w:bCs/>
          <w:u w:val="single"/>
        </w:rPr>
      </w:pPr>
      <w:r w:rsidRPr="00402EC6">
        <w:rPr>
          <w:b/>
        </w:rPr>
        <w:t>TO:</w:t>
      </w:r>
      <w:r w:rsidRPr="00402EC6">
        <w:rPr>
          <w:b/>
        </w:rPr>
        <w:tab/>
      </w:r>
      <w:r>
        <w:rPr>
          <w:b/>
        </w:rPr>
        <w:tab/>
      </w:r>
      <w:r w:rsidRPr="00402EC6">
        <w:t>John Day City Council</w:t>
      </w:r>
    </w:p>
    <w:p w:rsidR="008F327A" w:rsidRPr="002D33B7" w:rsidRDefault="008F327A" w:rsidP="008F327A"/>
    <w:p w:rsidR="008F327A" w:rsidRPr="002D33B7" w:rsidRDefault="008F327A" w:rsidP="008F327A">
      <w:r w:rsidRPr="002D33B7">
        <w:rPr>
          <w:b/>
        </w:rPr>
        <w:t>FROM:</w:t>
      </w:r>
      <w:r w:rsidRPr="002D33B7">
        <w:rPr>
          <w:b/>
        </w:rPr>
        <w:tab/>
      </w:r>
      <w:r>
        <w:t>Nicholas Green</w:t>
      </w:r>
      <w:r w:rsidRPr="002D33B7">
        <w:t>, City Manager</w:t>
      </w:r>
    </w:p>
    <w:p w:rsidR="008F327A" w:rsidRPr="002D33B7" w:rsidRDefault="008F327A" w:rsidP="008F327A"/>
    <w:p w:rsidR="008F327A" w:rsidRPr="002D33B7" w:rsidRDefault="008F327A" w:rsidP="008F327A">
      <w:r w:rsidRPr="002D33B7">
        <w:rPr>
          <w:b/>
          <w:bCs/>
        </w:rPr>
        <w:t>DATE:</w:t>
      </w:r>
      <w:r w:rsidRPr="002D33B7">
        <w:rPr>
          <w:b/>
          <w:bCs/>
        </w:rPr>
        <w:tab/>
      </w:r>
      <w:r w:rsidRPr="002D33B7">
        <w:tab/>
      </w:r>
      <w:r>
        <w:t>October 11, 2016</w:t>
      </w:r>
    </w:p>
    <w:p w:rsidR="008F327A" w:rsidRPr="002D33B7" w:rsidRDefault="008F327A" w:rsidP="008F327A"/>
    <w:p w:rsidR="008F327A" w:rsidRDefault="008F327A" w:rsidP="008F327A">
      <w:pPr>
        <w:ind w:left="1440" w:hanging="1440"/>
      </w:pPr>
      <w:r w:rsidRPr="002D33B7">
        <w:rPr>
          <w:b/>
        </w:rPr>
        <w:t>SUBJECT:</w:t>
      </w:r>
      <w:r w:rsidRPr="002D33B7">
        <w:rPr>
          <w:b/>
        </w:rPr>
        <w:tab/>
      </w:r>
      <w:r>
        <w:t>Agenda Item #6: Other Business</w:t>
      </w:r>
    </w:p>
    <w:p w:rsidR="00CC1CA9" w:rsidRDefault="00CC1CA9" w:rsidP="00CC1CA9">
      <w:pPr>
        <w:tabs>
          <w:tab w:val="left" w:pos="360"/>
        </w:tabs>
      </w:pPr>
    </w:p>
    <w:p w:rsidR="00CC1CA9" w:rsidRDefault="00CC1CA9" w:rsidP="00CC1CA9">
      <w:pPr>
        <w:tabs>
          <w:tab w:val="left" w:pos="360"/>
        </w:tabs>
      </w:pPr>
      <w:r>
        <w:tab/>
      </w:r>
      <w:r>
        <w:tab/>
        <w:t>Attachment(s)</w:t>
      </w:r>
    </w:p>
    <w:p w:rsidR="00CC1CA9" w:rsidRPr="00146821" w:rsidRDefault="00CC1CA9" w:rsidP="00CC1CA9">
      <w:pPr>
        <w:pStyle w:val="ListParagraph"/>
        <w:numPr>
          <w:ilvl w:val="0"/>
          <w:numId w:val="13"/>
        </w:numPr>
        <w:tabs>
          <w:tab w:val="left" w:pos="360"/>
        </w:tabs>
        <w:contextualSpacing w:val="0"/>
      </w:pPr>
      <w:r>
        <w:t>LOC Bulletins</w:t>
      </w:r>
    </w:p>
    <w:p w:rsidR="008F327A" w:rsidRDefault="008F327A" w:rsidP="00F369FF">
      <w:pPr>
        <w:rPr>
          <w:b/>
          <w:u w:val="single"/>
        </w:rPr>
      </w:pPr>
    </w:p>
    <w:p w:rsidR="00F369FF" w:rsidRDefault="007E3E0D" w:rsidP="00F369FF">
      <w:pPr>
        <w:rPr>
          <w:b/>
          <w:u w:val="single"/>
        </w:rPr>
      </w:pPr>
      <w:r>
        <w:rPr>
          <w:b/>
          <w:u w:val="single"/>
        </w:rPr>
        <w:t>OTHER BUSINESS</w:t>
      </w:r>
    </w:p>
    <w:p w:rsidR="00F369FF" w:rsidRDefault="00F369FF" w:rsidP="00F369FF">
      <w:pPr>
        <w:rPr>
          <w:b/>
          <w:u w:val="single"/>
        </w:rPr>
      </w:pPr>
    </w:p>
    <w:p w:rsidR="00F369FF" w:rsidRDefault="007506F2" w:rsidP="0005511C">
      <w:pPr>
        <w:pStyle w:val="ListParagraph"/>
        <w:numPr>
          <w:ilvl w:val="0"/>
          <w:numId w:val="7"/>
        </w:numPr>
      </w:pPr>
      <w:r>
        <w:t>Dog Ordinance</w:t>
      </w:r>
    </w:p>
    <w:p w:rsidR="00CF3730" w:rsidRDefault="00CF3730" w:rsidP="00CF3730"/>
    <w:p w:rsidR="00CF3730" w:rsidRDefault="00CF3730" w:rsidP="00A02F49">
      <w:r>
        <w:t xml:space="preserve">City Manager Green </w:t>
      </w:r>
      <w:r w:rsidR="008F327A">
        <w:t>is expecting a draft ordinance from the city attorney. If received by the night of the Council meeting he will bring a copy. He also went on Coffee Time to advertise the need for greater personal enforcement and adherence to the law by dog owners.</w:t>
      </w:r>
    </w:p>
    <w:p w:rsidR="00CF3730" w:rsidRDefault="00CF3730" w:rsidP="00CF3730"/>
    <w:p w:rsidR="00B71696" w:rsidRDefault="007506F2" w:rsidP="0005511C">
      <w:pPr>
        <w:pStyle w:val="ListParagraph"/>
        <w:numPr>
          <w:ilvl w:val="0"/>
          <w:numId w:val="7"/>
        </w:numPr>
      </w:pPr>
      <w:r>
        <w:t>Additional items as required by Council</w:t>
      </w:r>
    </w:p>
    <w:p w:rsidR="007506F2" w:rsidRDefault="007506F2" w:rsidP="00F369FF">
      <w:pPr>
        <w:rPr>
          <w:b/>
          <w:u w:val="single"/>
        </w:rPr>
      </w:pPr>
    </w:p>
    <w:p w:rsidR="00F369FF" w:rsidRDefault="007E3E0D" w:rsidP="00F369FF">
      <w:pPr>
        <w:rPr>
          <w:b/>
          <w:u w:val="single"/>
        </w:rPr>
      </w:pPr>
      <w:r>
        <w:rPr>
          <w:b/>
          <w:u w:val="single"/>
        </w:rPr>
        <w:t>UPCOMING MEETINGS</w:t>
      </w:r>
    </w:p>
    <w:p w:rsidR="00F369FF" w:rsidRDefault="00F369FF" w:rsidP="00F369FF">
      <w:pPr>
        <w:rPr>
          <w:b/>
          <w:u w:val="single"/>
        </w:rPr>
      </w:pPr>
    </w:p>
    <w:p w:rsidR="00F369FF" w:rsidRDefault="00F369FF" w:rsidP="00F369FF"/>
    <w:p w:rsidR="00CC1CA9" w:rsidRDefault="00CC1CA9" w:rsidP="00B71696">
      <w:pPr>
        <w:pStyle w:val="ListParagraph"/>
        <w:numPr>
          <w:ilvl w:val="0"/>
          <w:numId w:val="12"/>
        </w:numPr>
      </w:pPr>
      <w:r>
        <w:t>10/18/16 – City Manager Green scheduled to attend Canyon City Council Meeting</w:t>
      </w:r>
    </w:p>
    <w:p w:rsidR="00CC1CA9" w:rsidRDefault="00CC1CA9" w:rsidP="00B71696">
      <w:pPr>
        <w:pStyle w:val="ListParagraph"/>
        <w:numPr>
          <w:ilvl w:val="0"/>
          <w:numId w:val="12"/>
        </w:numPr>
      </w:pPr>
      <w:r>
        <w:t>10/19</w:t>
      </w:r>
      <w:r w:rsidR="00B71696">
        <w:t>/16</w:t>
      </w:r>
      <w:r w:rsidR="00D04913">
        <w:t xml:space="preserve"> – </w:t>
      </w:r>
      <w:r>
        <w:t>Oregon Solutions Presentation</w:t>
      </w:r>
      <w:r w:rsidR="007506F2">
        <w:t xml:space="preserve">, </w:t>
      </w:r>
      <w:r>
        <w:t>7 AM no host breakfast, The Outpost</w:t>
      </w:r>
    </w:p>
    <w:p w:rsidR="00CC1CA9" w:rsidRDefault="00CC1CA9" w:rsidP="00B71696">
      <w:pPr>
        <w:pStyle w:val="ListParagraph"/>
        <w:numPr>
          <w:ilvl w:val="0"/>
          <w:numId w:val="12"/>
        </w:numPr>
      </w:pPr>
      <w:r>
        <w:t>10/20/16 – LOC Region 8 Small Cities Meeting, 11 AM -1:30PM, Huntington VFW</w:t>
      </w:r>
    </w:p>
    <w:p w:rsidR="009A6782" w:rsidRDefault="00CC1CA9" w:rsidP="004B2054">
      <w:pPr>
        <w:pStyle w:val="ListParagraph"/>
        <w:numPr>
          <w:ilvl w:val="0"/>
          <w:numId w:val="12"/>
        </w:numPr>
      </w:pPr>
      <w:r>
        <w:t>10/20/16 – Special Meeting with Senator Ferrioli to discuss 911 Dispatch Funding, 6 PM, John Day Fire Hall</w:t>
      </w:r>
    </w:p>
    <w:sectPr w:rsidR="009A6782" w:rsidSect="0053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50C"/>
    <w:multiLevelType w:val="hybridMultilevel"/>
    <w:tmpl w:val="D256BA70"/>
    <w:lvl w:ilvl="0" w:tplc="0422F9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22F2"/>
    <w:multiLevelType w:val="hybridMultilevel"/>
    <w:tmpl w:val="D10E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24481"/>
    <w:multiLevelType w:val="hybridMultilevel"/>
    <w:tmpl w:val="A4CCA5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C34419"/>
    <w:multiLevelType w:val="hybridMultilevel"/>
    <w:tmpl w:val="8FE84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CC4EE1"/>
    <w:multiLevelType w:val="hybridMultilevel"/>
    <w:tmpl w:val="A190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D5DB2"/>
    <w:multiLevelType w:val="hybridMultilevel"/>
    <w:tmpl w:val="77A8FD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6F176DB"/>
    <w:multiLevelType w:val="hybridMultilevel"/>
    <w:tmpl w:val="E3327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84029"/>
    <w:multiLevelType w:val="hybridMultilevel"/>
    <w:tmpl w:val="89201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0582D"/>
    <w:multiLevelType w:val="hybridMultilevel"/>
    <w:tmpl w:val="053AE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2A4C3E"/>
    <w:multiLevelType w:val="hybridMultilevel"/>
    <w:tmpl w:val="41CA6B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F9638B5"/>
    <w:multiLevelType w:val="hybridMultilevel"/>
    <w:tmpl w:val="E4EE1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536EF5"/>
    <w:multiLevelType w:val="hybridMultilevel"/>
    <w:tmpl w:val="74D0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51D3B"/>
    <w:multiLevelType w:val="hybridMultilevel"/>
    <w:tmpl w:val="4CAA73C4"/>
    <w:lvl w:ilvl="0" w:tplc="955088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82D29"/>
    <w:multiLevelType w:val="hybridMultilevel"/>
    <w:tmpl w:val="98A69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024741"/>
    <w:multiLevelType w:val="hybridMultilevel"/>
    <w:tmpl w:val="2D86C1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4"/>
  </w:num>
  <w:num w:numId="7">
    <w:abstractNumId w:val="12"/>
  </w:num>
  <w:num w:numId="8">
    <w:abstractNumId w:val="6"/>
  </w:num>
  <w:num w:numId="9">
    <w:abstractNumId w:val="9"/>
  </w:num>
  <w:num w:numId="10">
    <w:abstractNumId w:val="1"/>
  </w:num>
  <w:num w:numId="11">
    <w:abstractNumId w:val="13"/>
  </w:num>
  <w:num w:numId="12">
    <w:abstractNumId w:val="0"/>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3023B"/>
    <w:rsid w:val="000062F5"/>
    <w:rsid w:val="000320C0"/>
    <w:rsid w:val="0005511C"/>
    <w:rsid w:val="00067C85"/>
    <w:rsid w:val="000935AA"/>
    <w:rsid w:val="000C460F"/>
    <w:rsid w:val="00197399"/>
    <w:rsid w:val="001A3209"/>
    <w:rsid w:val="002749D5"/>
    <w:rsid w:val="00297799"/>
    <w:rsid w:val="002A455B"/>
    <w:rsid w:val="002C553A"/>
    <w:rsid w:val="003928EB"/>
    <w:rsid w:val="003B2CCF"/>
    <w:rsid w:val="003F40F9"/>
    <w:rsid w:val="0049125E"/>
    <w:rsid w:val="00536980"/>
    <w:rsid w:val="0055287C"/>
    <w:rsid w:val="005638C2"/>
    <w:rsid w:val="006376F5"/>
    <w:rsid w:val="006F1EC1"/>
    <w:rsid w:val="007506F2"/>
    <w:rsid w:val="00764304"/>
    <w:rsid w:val="007B5AAD"/>
    <w:rsid w:val="007B5DAE"/>
    <w:rsid w:val="007E3E0D"/>
    <w:rsid w:val="008C38F1"/>
    <w:rsid w:val="008D7FAB"/>
    <w:rsid w:val="008E782C"/>
    <w:rsid w:val="008F327A"/>
    <w:rsid w:val="009604B5"/>
    <w:rsid w:val="009A6782"/>
    <w:rsid w:val="009E6F04"/>
    <w:rsid w:val="00A02F49"/>
    <w:rsid w:val="00A04B92"/>
    <w:rsid w:val="00A330AB"/>
    <w:rsid w:val="00A74EBE"/>
    <w:rsid w:val="00A83B20"/>
    <w:rsid w:val="00AF59A7"/>
    <w:rsid w:val="00B0454A"/>
    <w:rsid w:val="00B71696"/>
    <w:rsid w:val="00CA0A1F"/>
    <w:rsid w:val="00CA629F"/>
    <w:rsid w:val="00CC05FA"/>
    <w:rsid w:val="00CC1CA9"/>
    <w:rsid w:val="00CC492B"/>
    <w:rsid w:val="00CF3730"/>
    <w:rsid w:val="00D04913"/>
    <w:rsid w:val="00DA6969"/>
    <w:rsid w:val="00DB375C"/>
    <w:rsid w:val="00E13647"/>
    <w:rsid w:val="00E75C5F"/>
    <w:rsid w:val="00E76F82"/>
    <w:rsid w:val="00E96C71"/>
    <w:rsid w:val="00EB3C5D"/>
    <w:rsid w:val="00ED2AC5"/>
    <w:rsid w:val="00ED6E32"/>
    <w:rsid w:val="00EF32CE"/>
    <w:rsid w:val="00F3023B"/>
    <w:rsid w:val="00F369FF"/>
    <w:rsid w:val="00F44E1F"/>
    <w:rsid w:val="00F526F6"/>
    <w:rsid w:val="00FA24CB"/>
    <w:rsid w:val="00FE681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DDFDD3-8322-4EEA-ABC7-D0FABD71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3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82"/>
    <w:pPr>
      <w:ind w:left="720"/>
      <w:contextualSpacing/>
    </w:pPr>
  </w:style>
  <w:style w:type="paragraph" w:styleId="BalloonText">
    <w:name w:val="Balloon Text"/>
    <w:basedOn w:val="Normal"/>
    <w:link w:val="BalloonTextChar"/>
    <w:uiPriority w:val="99"/>
    <w:semiHidden/>
    <w:unhideWhenUsed/>
    <w:rsid w:val="00093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5AA"/>
    <w:rPr>
      <w:rFonts w:ascii="Segoe UI" w:eastAsia="Times New Roman" w:hAnsi="Segoe UI" w:cs="Segoe UI"/>
      <w:sz w:val="18"/>
      <w:szCs w:val="18"/>
    </w:rPr>
  </w:style>
  <w:style w:type="paragraph" w:styleId="PlainText">
    <w:name w:val="Plain Text"/>
    <w:basedOn w:val="Normal"/>
    <w:link w:val="PlainTextChar"/>
    <w:uiPriority w:val="99"/>
    <w:unhideWhenUsed/>
    <w:rsid w:val="003928EB"/>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928EB"/>
    <w:rPr>
      <w:rFonts w:ascii="Calibri" w:hAnsi="Calibri"/>
      <w:szCs w:val="21"/>
    </w:rPr>
  </w:style>
  <w:style w:type="character" w:styleId="Hyperlink">
    <w:name w:val="Hyperlink"/>
    <w:basedOn w:val="DefaultParagraphFont"/>
    <w:uiPriority w:val="99"/>
    <w:unhideWhenUsed/>
    <w:rsid w:val="0055287C"/>
    <w:rPr>
      <w:color w:val="0000FF" w:themeColor="hyperlink"/>
      <w:u w:val="single"/>
    </w:rPr>
  </w:style>
  <w:style w:type="character" w:styleId="FollowedHyperlink">
    <w:name w:val="FollowedHyperlink"/>
    <w:basedOn w:val="DefaultParagraphFont"/>
    <w:uiPriority w:val="99"/>
    <w:semiHidden/>
    <w:unhideWhenUsed/>
    <w:rsid w:val="008C38F1"/>
    <w:rPr>
      <w:color w:val="800080" w:themeColor="followedHyperlink"/>
      <w:u w:val="single"/>
    </w:rPr>
  </w:style>
  <w:style w:type="paragraph" w:styleId="Caption">
    <w:name w:val="caption"/>
    <w:basedOn w:val="Normal"/>
    <w:next w:val="Normal"/>
    <w:uiPriority w:val="35"/>
    <w:unhideWhenUsed/>
    <w:qFormat/>
    <w:rsid w:val="00CA629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0638">
      <w:bodyDiv w:val="1"/>
      <w:marLeft w:val="0"/>
      <w:marRight w:val="0"/>
      <w:marTop w:val="0"/>
      <w:marBottom w:val="0"/>
      <w:divBdr>
        <w:top w:val="none" w:sz="0" w:space="0" w:color="auto"/>
        <w:left w:val="none" w:sz="0" w:space="0" w:color="auto"/>
        <w:bottom w:val="none" w:sz="0" w:space="0" w:color="auto"/>
        <w:right w:val="none" w:sz="0" w:space="0" w:color="auto"/>
      </w:divBdr>
      <w:divsChild>
        <w:div w:id="47148554">
          <w:marLeft w:val="0"/>
          <w:marRight w:val="0"/>
          <w:marTop w:val="0"/>
          <w:marBottom w:val="0"/>
          <w:divBdr>
            <w:top w:val="none" w:sz="0" w:space="0" w:color="auto"/>
            <w:left w:val="none" w:sz="0" w:space="0" w:color="auto"/>
            <w:bottom w:val="none" w:sz="0" w:space="0" w:color="auto"/>
            <w:right w:val="none" w:sz="0" w:space="0" w:color="auto"/>
          </w:divBdr>
          <w:divsChild>
            <w:div w:id="128208661">
              <w:marLeft w:val="0"/>
              <w:marRight w:val="0"/>
              <w:marTop w:val="0"/>
              <w:marBottom w:val="0"/>
              <w:divBdr>
                <w:top w:val="none" w:sz="0" w:space="0" w:color="auto"/>
                <w:left w:val="none" w:sz="0" w:space="0" w:color="auto"/>
                <w:bottom w:val="none" w:sz="0" w:space="0" w:color="auto"/>
                <w:right w:val="none" w:sz="0" w:space="0" w:color="auto"/>
              </w:divBdr>
              <w:divsChild>
                <w:div w:id="305402528">
                  <w:marLeft w:val="-225"/>
                  <w:marRight w:val="-225"/>
                  <w:marTop w:val="0"/>
                  <w:marBottom w:val="0"/>
                  <w:divBdr>
                    <w:top w:val="none" w:sz="0" w:space="0" w:color="auto"/>
                    <w:left w:val="none" w:sz="0" w:space="0" w:color="auto"/>
                    <w:bottom w:val="none" w:sz="0" w:space="0" w:color="auto"/>
                    <w:right w:val="none" w:sz="0" w:space="0" w:color="auto"/>
                  </w:divBdr>
                  <w:divsChild>
                    <w:div w:id="245922862">
                      <w:marLeft w:val="0"/>
                      <w:marRight w:val="0"/>
                      <w:marTop w:val="0"/>
                      <w:marBottom w:val="0"/>
                      <w:divBdr>
                        <w:top w:val="none" w:sz="0" w:space="0" w:color="auto"/>
                        <w:left w:val="none" w:sz="0" w:space="0" w:color="auto"/>
                        <w:bottom w:val="none" w:sz="0" w:space="0" w:color="auto"/>
                        <w:right w:val="none" w:sz="0" w:space="0" w:color="auto"/>
                      </w:divBdr>
                      <w:divsChild>
                        <w:div w:id="583339940">
                          <w:marLeft w:val="0"/>
                          <w:marRight w:val="0"/>
                          <w:marTop w:val="450"/>
                          <w:marBottom w:val="0"/>
                          <w:divBdr>
                            <w:top w:val="none" w:sz="0" w:space="0" w:color="auto"/>
                            <w:left w:val="none" w:sz="0" w:space="0" w:color="auto"/>
                            <w:bottom w:val="none" w:sz="0" w:space="0" w:color="auto"/>
                            <w:right w:val="none" w:sz="0" w:space="0" w:color="auto"/>
                          </w:divBdr>
                          <w:divsChild>
                            <w:div w:id="17042890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0784">
      <w:bodyDiv w:val="1"/>
      <w:marLeft w:val="0"/>
      <w:marRight w:val="0"/>
      <w:marTop w:val="0"/>
      <w:marBottom w:val="0"/>
      <w:divBdr>
        <w:top w:val="none" w:sz="0" w:space="0" w:color="auto"/>
        <w:left w:val="none" w:sz="0" w:space="0" w:color="auto"/>
        <w:bottom w:val="none" w:sz="0" w:space="0" w:color="auto"/>
        <w:right w:val="none" w:sz="0" w:space="0" w:color="auto"/>
      </w:divBdr>
    </w:div>
    <w:div w:id="853306156">
      <w:bodyDiv w:val="1"/>
      <w:marLeft w:val="0"/>
      <w:marRight w:val="0"/>
      <w:marTop w:val="0"/>
      <w:marBottom w:val="0"/>
      <w:divBdr>
        <w:top w:val="none" w:sz="0" w:space="0" w:color="auto"/>
        <w:left w:val="none" w:sz="0" w:space="0" w:color="auto"/>
        <w:bottom w:val="none" w:sz="0" w:space="0" w:color="auto"/>
        <w:right w:val="none" w:sz="0" w:space="0" w:color="auto"/>
      </w:divBdr>
    </w:div>
    <w:div w:id="1083524752">
      <w:bodyDiv w:val="1"/>
      <w:marLeft w:val="0"/>
      <w:marRight w:val="0"/>
      <w:marTop w:val="0"/>
      <w:marBottom w:val="0"/>
      <w:divBdr>
        <w:top w:val="none" w:sz="0" w:space="0" w:color="auto"/>
        <w:left w:val="none" w:sz="0" w:space="0" w:color="auto"/>
        <w:bottom w:val="none" w:sz="0" w:space="0" w:color="auto"/>
        <w:right w:val="none" w:sz="0" w:space="0" w:color="auto"/>
      </w:divBdr>
    </w:div>
    <w:div w:id="1702974077">
      <w:bodyDiv w:val="1"/>
      <w:marLeft w:val="0"/>
      <w:marRight w:val="0"/>
      <w:marTop w:val="0"/>
      <w:marBottom w:val="0"/>
      <w:divBdr>
        <w:top w:val="none" w:sz="0" w:space="0" w:color="auto"/>
        <w:left w:val="none" w:sz="0" w:space="0" w:color="auto"/>
        <w:bottom w:val="none" w:sz="0" w:space="0" w:color="auto"/>
        <w:right w:val="none" w:sz="0" w:space="0" w:color="auto"/>
      </w:divBdr>
    </w:div>
    <w:div w:id="1770005145">
      <w:bodyDiv w:val="1"/>
      <w:marLeft w:val="0"/>
      <w:marRight w:val="0"/>
      <w:marTop w:val="0"/>
      <w:marBottom w:val="0"/>
      <w:divBdr>
        <w:top w:val="none" w:sz="0" w:space="0" w:color="auto"/>
        <w:left w:val="none" w:sz="0" w:space="0" w:color="auto"/>
        <w:bottom w:val="none" w:sz="0" w:space="0" w:color="auto"/>
        <w:right w:val="none" w:sz="0" w:space="0" w:color="auto"/>
      </w:divBdr>
    </w:div>
    <w:div w:id="2024746980">
      <w:bodyDiv w:val="1"/>
      <w:marLeft w:val="0"/>
      <w:marRight w:val="0"/>
      <w:marTop w:val="0"/>
      <w:marBottom w:val="0"/>
      <w:divBdr>
        <w:top w:val="none" w:sz="0" w:space="0" w:color="auto"/>
        <w:left w:val="none" w:sz="0" w:space="0" w:color="auto"/>
        <w:bottom w:val="none" w:sz="0" w:space="0" w:color="auto"/>
        <w:right w:val="none" w:sz="0" w:space="0" w:color="auto"/>
      </w:divBdr>
    </w:div>
    <w:div w:id="2054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jdcity-dc\City%20Recorder\City%20Manager\Canyon%20City%20Sewer%20Agreement\Summary%20of%20Payments%20from%20Canyon%20C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jdcity-dc\City%20Recorder\City%20Manager\Canyon%20City%20Sewer%20Agreement\Summary%20of%20Payments%20from%20Canyon%20Cit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Wastewater Treatment Payments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John Day</c:v>
                </c:pt>
              </c:strCache>
            </c:strRef>
          </c:tx>
          <c:spPr>
            <a:solidFill>
              <a:schemeClr val="accent1"/>
            </a:solidFill>
            <a:ln>
              <a:noFill/>
            </a:ln>
            <a:effectLst/>
          </c:spPr>
          <c:invertIfNegative val="0"/>
          <c:cat>
            <c:strRef>
              <c:f>Sheet1!$B$1:$L$1</c:f>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f>Sheet1!$B$2:$L$2</c:f>
              <c:numCache>
                <c:formatCode>0</c:formatCode>
                <c:ptCount val="11"/>
                <c:pt idx="0">
                  <c:v>184284.61538461538</c:v>
                </c:pt>
                <c:pt idx="1">
                  <c:v>201323.07692307691</c:v>
                </c:pt>
                <c:pt idx="2">
                  <c:v>240069.23076923075</c:v>
                </c:pt>
                <c:pt idx="3">
                  <c:v>171492.30769230769</c:v>
                </c:pt>
                <c:pt idx="4">
                  <c:v>226158.8785046729</c:v>
                </c:pt>
                <c:pt idx="5">
                  <c:v>212926.08695652173</c:v>
                </c:pt>
                <c:pt idx="6">
                  <c:v>260847.82608695651</c:v>
                </c:pt>
                <c:pt idx="7">
                  <c:v>261562.37383932175</c:v>
                </c:pt>
                <c:pt idx="8">
                  <c:v>211259.61927906034</c:v>
                </c:pt>
                <c:pt idx="9">
                  <c:v>238971.24341838801</c:v>
                </c:pt>
                <c:pt idx="10">
                  <c:v>290927.50101255567</c:v>
                </c:pt>
              </c:numCache>
            </c:numRef>
          </c:val>
        </c:ser>
        <c:ser>
          <c:idx val="3"/>
          <c:order val="3"/>
          <c:tx>
            <c:strRef>
              <c:f>Sheet1!$A$5</c:f>
              <c:strCache>
                <c:ptCount val="1"/>
                <c:pt idx="0">
                  <c:v>Canyon City</c:v>
                </c:pt>
              </c:strCache>
            </c:strRef>
          </c:tx>
          <c:spPr>
            <a:solidFill>
              <a:srgbClr val="FFC000"/>
            </a:solidFill>
            <a:ln>
              <a:noFill/>
            </a:ln>
            <a:effectLst/>
          </c:spPr>
          <c:invertIfNegative val="0"/>
          <c:cat>
            <c:strRef>
              <c:f>Sheet1!$B$1:$L$1</c:f>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f>Sheet1!$B$5:$L$5</c:f>
              <c:numCache>
                <c:formatCode>General</c:formatCode>
                <c:ptCount val="11"/>
                <c:pt idx="0">
                  <c:v>47914</c:v>
                </c:pt>
                <c:pt idx="1">
                  <c:v>52344</c:v>
                </c:pt>
                <c:pt idx="2">
                  <c:v>62418</c:v>
                </c:pt>
                <c:pt idx="3">
                  <c:v>22294</c:v>
                </c:pt>
                <c:pt idx="4">
                  <c:v>24199</c:v>
                </c:pt>
                <c:pt idx="5">
                  <c:v>48973</c:v>
                </c:pt>
                <c:pt idx="6">
                  <c:v>59995</c:v>
                </c:pt>
                <c:pt idx="7">
                  <c:v>64789</c:v>
                </c:pt>
                <c:pt idx="8">
                  <c:v>52160</c:v>
                </c:pt>
                <c:pt idx="9">
                  <c:v>59002</c:v>
                </c:pt>
                <c:pt idx="10">
                  <c:v>71830</c:v>
                </c:pt>
              </c:numCache>
            </c:numRef>
          </c:val>
        </c:ser>
        <c:dLbls>
          <c:showLegendKey val="0"/>
          <c:showVal val="0"/>
          <c:showCatName val="0"/>
          <c:showSerName val="0"/>
          <c:showPercent val="0"/>
          <c:showBubbleSize val="0"/>
        </c:dLbls>
        <c:gapWidth val="150"/>
        <c:overlap val="100"/>
        <c:axId val="410099416"/>
        <c:axId val="388209320"/>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Fund 04</c:v>
                      </c:pt>
                    </c:strCache>
                  </c:strRef>
                </c:tx>
                <c:spPr>
                  <a:solidFill>
                    <a:schemeClr val="accent2"/>
                  </a:solidFill>
                  <a:ln>
                    <a:noFill/>
                  </a:ln>
                  <a:effectLst/>
                </c:spPr>
                <c:invertIfNegative val="0"/>
                <c:cat>
                  <c:strRef>
                    <c:extLst>
                      <c:ex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c:ext uri="{02D57815-91ED-43cb-92C2-25804820EDAC}">
                        <c15:formulaRef>
                          <c15:sqref>Sheet1!$B$3:$L$3</c15:sqref>
                        </c15:formulaRef>
                      </c:ext>
                    </c:extLst>
                    <c:numCache>
                      <c:formatCode>General</c:formatCode>
                      <c:ptCount val="11"/>
                      <c:pt idx="0">
                        <c:v>44274</c:v>
                      </c:pt>
                      <c:pt idx="1">
                        <c:v>48444</c:v>
                      </c:pt>
                      <c:pt idx="2">
                        <c:v>58518</c:v>
                      </c:pt>
                      <c:pt idx="3">
                        <c:v>20044</c:v>
                      </c:pt>
                      <c:pt idx="4">
                        <c:v>22594</c:v>
                      </c:pt>
                      <c:pt idx="5">
                        <c:v>45523</c:v>
                      </c:pt>
                      <c:pt idx="6">
                        <c:v>56545</c:v>
                      </c:pt>
                      <c:pt idx="7">
                        <c:v>61073</c:v>
                      </c:pt>
                      <c:pt idx="8">
                        <c:v>48444</c:v>
                      </c:pt>
                      <c:pt idx="9">
                        <c:v>55298</c:v>
                      </c:pt>
                      <c:pt idx="10">
                        <c:v>68126</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Fund 05</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3640</c:v>
                      </c:pt>
                      <c:pt idx="1">
                        <c:v>3900</c:v>
                      </c:pt>
                      <c:pt idx="2">
                        <c:v>3900</c:v>
                      </c:pt>
                      <c:pt idx="3">
                        <c:v>2250</c:v>
                      </c:pt>
                      <c:pt idx="4">
                        <c:v>1605</c:v>
                      </c:pt>
                      <c:pt idx="5">
                        <c:v>3450</c:v>
                      </c:pt>
                      <c:pt idx="6">
                        <c:v>3450</c:v>
                      </c:pt>
                      <c:pt idx="7">
                        <c:v>3716</c:v>
                      </c:pt>
                      <c:pt idx="8">
                        <c:v>3716</c:v>
                      </c:pt>
                      <c:pt idx="9">
                        <c:v>3704</c:v>
                      </c:pt>
                      <c:pt idx="10">
                        <c:v>3704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Percentage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0.26</c:v>
                      </c:pt>
                      <c:pt idx="1">
                        <c:v>0.26</c:v>
                      </c:pt>
                      <c:pt idx="2">
                        <c:v>0.26</c:v>
                      </c:pt>
                      <c:pt idx="3">
                        <c:v>0.13</c:v>
                      </c:pt>
                      <c:pt idx="4">
                        <c:v>0.107</c:v>
                      </c:pt>
                      <c:pt idx="5">
                        <c:v>0.23</c:v>
                      </c:pt>
                      <c:pt idx="6">
                        <c:v>0.23</c:v>
                      </c:pt>
                      <c:pt idx="7">
                        <c:v>0.2477</c:v>
                      </c:pt>
                      <c:pt idx="8">
                        <c:v>0.24690000000000001</c:v>
                      </c:pt>
                      <c:pt idx="9">
                        <c:v>0.24690000000000001</c:v>
                      </c:pt>
                      <c:pt idx="10">
                        <c:v>0.24690000000000001</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Sheet1!$A$7</c15:sqref>
                        </c15:formulaRef>
                      </c:ext>
                    </c:extLst>
                    <c:strCache>
                      <c:ptCount val="1"/>
                      <c:pt idx="0">
                        <c:v>Total</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Sheet1!$B$7:$L$7</c15:sqref>
                        </c15:formulaRef>
                      </c:ext>
                    </c:extLst>
                    <c:numCache>
                      <c:formatCode>0</c:formatCode>
                      <c:ptCount val="11"/>
                      <c:pt idx="0">
                        <c:v>232198.61538461538</c:v>
                      </c:pt>
                      <c:pt idx="1">
                        <c:v>253667.07692307691</c:v>
                      </c:pt>
                      <c:pt idx="2">
                        <c:v>302487.23076923075</c:v>
                      </c:pt>
                      <c:pt idx="3">
                        <c:v>193786.30769230769</c:v>
                      </c:pt>
                      <c:pt idx="4">
                        <c:v>250357.8785046729</c:v>
                      </c:pt>
                      <c:pt idx="5">
                        <c:v>261899.08695652173</c:v>
                      </c:pt>
                      <c:pt idx="6">
                        <c:v>320842.82608695654</c:v>
                      </c:pt>
                      <c:pt idx="7">
                        <c:v>326351.37383932178</c:v>
                      </c:pt>
                      <c:pt idx="8">
                        <c:v>263419.61927906034</c:v>
                      </c:pt>
                      <c:pt idx="9">
                        <c:v>297973.24341838801</c:v>
                      </c:pt>
                      <c:pt idx="10">
                        <c:v>362757.50101255567</c:v>
                      </c:pt>
                    </c:numCache>
                  </c:numRef>
                </c:val>
              </c15:ser>
            </c15:filteredBarSeries>
          </c:ext>
        </c:extLst>
      </c:barChart>
      <c:catAx>
        <c:axId val="41009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209320"/>
        <c:crosses val="autoZero"/>
        <c:auto val="1"/>
        <c:lblAlgn val="ctr"/>
        <c:lblOffset val="100"/>
        <c:noMultiLvlLbl val="0"/>
      </c:catAx>
      <c:valAx>
        <c:axId val="388209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099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Canyon City Payment Variation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3"/>
          <c:order val="3"/>
          <c:tx>
            <c:strRef>
              <c:f>Sheet1!$A$5</c:f>
              <c:strCache>
                <c:ptCount val="1"/>
                <c:pt idx="0">
                  <c:v>Canyon City</c:v>
                </c:pt>
              </c:strCache>
            </c:strRef>
          </c:tx>
          <c:spPr>
            <a:ln w="28575" cap="rnd">
              <a:solidFill>
                <a:srgbClr val="FFC000"/>
              </a:solidFill>
              <a:round/>
            </a:ln>
            <a:effectLst/>
          </c:spPr>
          <c:marker>
            <c:symbol val="none"/>
          </c:marker>
          <c:trendline>
            <c:spPr>
              <a:ln w="19050" cap="rnd">
                <a:solidFill>
                  <a:srgbClr val="FFC000"/>
                </a:solidFill>
                <a:prstDash val="sysDot"/>
              </a:ln>
              <a:effectLst/>
            </c:spPr>
            <c:trendlineType val="linear"/>
            <c:dispRSqr val="0"/>
            <c:dispEq val="1"/>
            <c:trendlineLbl>
              <c:layout>
                <c:manualLayout>
                  <c:x val="1.6937007874015749E-2"/>
                  <c:y val="-0.169811533974919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Sheet1!$B$1:$L$1</c:f>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f>Sheet1!$B$5:$L$5</c:f>
              <c:numCache>
                <c:formatCode>General</c:formatCode>
                <c:ptCount val="11"/>
                <c:pt idx="0">
                  <c:v>47914</c:v>
                </c:pt>
                <c:pt idx="1">
                  <c:v>52344</c:v>
                </c:pt>
                <c:pt idx="2">
                  <c:v>62418</c:v>
                </c:pt>
                <c:pt idx="3">
                  <c:v>22294</c:v>
                </c:pt>
                <c:pt idx="4">
                  <c:v>24199</c:v>
                </c:pt>
                <c:pt idx="5">
                  <c:v>48973</c:v>
                </c:pt>
                <c:pt idx="6">
                  <c:v>59995</c:v>
                </c:pt>
                <c:pt idx="7">
                  <c:v>64789</c:v>
                </c:pt>
                <c:pt idx="8">
                  <c:v>52160</c:v>
                </c:pt>
                <c:pt idx="9">
                  <c:v>59002</c:v>
                </c:pt>
                <c:pt idx="10">
                  <c:v>71830</c:v>
                </c:pt>
              </c:numCache>
            </c:numRef>
          </c:val>
          <c:smooth val="0"/>
        </c:ser>
        <c:dLbls>
          <c:showLegendKey val="0"/>
          <c:showVal val="0"/>
          <c:showCatName val="0"/>
          <c:showSerName val="0"/>
          <c:showPercent val="0"/>
          <c:showBubbleSize val="0"/>
        </c:dLbls>
        <c:smooth val="0"/>
        <c:axId val="419442632"/>
        <c:axId val="419443024"/>
        <c:extLst>
          <c:ext xmlns:c15="http://schemas.microsoft.com/office/drawing/2012/chart" uri="{02D57815-91ED-43cb-92C2-25804820EDAC}">
            <c15:filteredLineSeries>
              <c15:ser>
                <c:idx val="0"/>
                <c:order val="0"/>
                <c:tx>
                  <c:strRef>
                    <c:extLst>
                      <c:ext uri="{02D57815-91ED-43cb-92C2-25804820EDAC}">
                        <c15:formulaRef>
                          <c15:sqref>Sheet1!$A$2</c15:sqref>
                        </c15:formulaRef>
                      </c:ext>
                    </c:extLst>
                    <c:strCache>
                      <c:ptCount val="1"/>
                      <c:pt idx="0">
                        <c:v>John Day</c:v>
                      </c:pt>
                    </c:strCache>
                  </c:strRef>
                </c:tx>
                <c:spPr>
                  <a:ln w="28575" cap="rnd">
                    <a:solidFill>
                      <a:schemeClr val="accent1"/>
                    </a:solidFill>
                    <a:round/>
                  </a:ln>
                  <a:effectLst/>
                </c:spPr>
                <c:marker>
                  <c:symbol val="none"/>
                </c:marker>
                <c:cat>
                  <c:strRef>
                    <c:extLst>
                      <c:ex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c:ext uri="{02D57815-91ED-43cb-92C2-25804820EDAC}">
                        <c15:formulaRef>
                          <c15:sqref>Sheet1!$B$2:$L$2</c15:sqref>
                        </c15:formulaRef>
                      </c:ext>
                    </c:extLst>
                    <c:numCache>
                      <c:formatCode>0</c:formatCode>
                      <c:ptCount val="11"/>
                      <c:pt idx="0">
                        <c:v>184284.61538461538</c:v>
                      </c:pt>
                      <c:pt idx="1">
                        <c:v>201323.07692307691</c:v>
                      </c:pt>
                      <c:pt idx="2">
                        <c:v>240069.23076923075</c:v>
                      </c:pt>
                      <c:pt idx="3">
                        <c:v>171492.30769230769</c:v>
                      </c:pt>
                      <c:pt idx="4">
                        <c:v>226158.8785046729</c:v>
                      </c:pt>
                      <c:pt idx="5">
                        <c:v>212926.08695652173</c:v>
                      </c:pt>
                      <c:pt idx="6">
                        <c:v>260847.82608695651</c:v>
                      </c:pt>
                      <c:pt idx="7">
                        <c:v>261562.37383932175</c:v>
                      </c:pt>
                      <c:pt idx="8">
                        <c:v>211259.61927906034</c:v>
                      </c:pt>
                      <c:pt idx="9">
                        <c:v>238971.24341838801</c:v>
                      </c:pt>
                      <c:pt idx="10">
                        <c:v>290927.50101255567</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Fund 04</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44274</c:v>
                      </c:pt>
                      <c:pt idx="1">
                        <c:v>48444</c:v>
                      </c:pt>
                      <c:pt idx="2">
                        <c:v>58518</c:v>
                      </c:pt>
                      <c:pt idx="3">
                        <c:v>20044</c:v>
                      </c:pt>
                      <c:pt idx="4">
                        <c:v>22594</c:v>
                      </c:pt>
                      <c:pt idx="5">
                        <c:v>45523</c:v>
                      </c:pt>
                      <c:pt idx="6">
                        <c:v>56545</c:v>
                      </c:pt>
                      <c:pt idx="7">
                        <c:v>61073</c:v>
                      </c:pt>
                      <c:pt idx="8">
                        <c:v>48444</c:v>
                      </c:pt>
                      <c:pt idx="9">
                        <c:v>55298</c:v>
                      </c:pt>
                      <c:pt idx="10">
                        <c:v>68126</c:v>
                      </c:pt>
                    </c:numCache>
                  </c:numRef>
                </c:val>
                <c:smooth val="0"/>
              </c15:ser>
            </c15:filteredLineSeries>
            <c15:filteredLine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Fund 05</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3640</c:v>
                      </c:pt>
                      <c:pt idx="1">
                        <c:v>3900</c:v>
                      </c:pt>
                      <c:pt idx="2">
                        <c:v>3900</c:v>
                      </c:pt>
                      <c:pt idx="3">
                        <c:v>2250</c:v>
                      </c:pt>
                      <c:pt idx="4">
                        <c:v>1605</c:v>
                      </c:pt>
                      <c:pt idx="5">
                        <c:v>3450</c:v>
                      </c:pt>
                      <c:pt idx="6">
                        <c:v>3450</c:v>
                      </c:pt>
                      <c:pt idx="7">
                        <c:v>3716</c:v>
                      </c:pt>
                      <c:pt idx="8">
                        <c:v>3716</c:v>
                      </c:pt>
                      <c:pt idx="9">
                        <c:v>3704</c:v>
                      </c:pt>
                      <c:pt idx="10">
                        <c:v>3704</c:v>
                      </c:pt>
                    </c:numCache>
                  </c:numRef>
                </c:val>
                <c:smooth val="0"/>
              </c15:ser>
            </c15:filteredLineSeries>
            <c15:filteredLineSeries>
              <c15:ser>
                <c:idx val="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Percentage</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0.26</c:v>
                      </c:pt>
                      <c:pt idx="1">
                        <c:v>0.26</c:v>
                      </c:pt>
                      <c:pt idx="2">
                        <c:v>0.26</c:v>
                      </c:pt>
                      <c:pt idx="3">
                        <c:v>0.13</c:v>
                      </c:pt>
                      <c:pt idx="4">
                        <c:v>0.107</c:v>
                      </c:pt>
                      <c:pt idx="5">
                        <c:v>0.23</c:v>
                      </c:pt>
                      <c:pt idx="6">
                        <c:v>0.23</c:v>
                      </c:pt>
                      <c:pt idx="7">
                        <c:v>0.2477</c:v>
                      </c:pt>
                      <c:pt idx="8">
                        <c:v>0.24690000000000001</c:v>
                      </c:pt>
                      <c:pt idx="9">
                        <c:v>0.24690000000000001</c:v>
                      </c:pt>
                      <c:pt idx="10">
                        <c:v>0.24690000000000001</c:v>
                      </c:pt>
                    </c:numCache>
                  </c:numRef>
                </c:val>
                <c:smooth val="0"/>
              </c15:ser>
            </c15:filteredLineSeries>
            <c15:filteredLineSeries>
              <c15:ser>
                <c:idx val="5"/>
                <c:order val="5"/>
                <c:tx>
                  <c:strRef>
                    <c:extLst xmlns:c15="http://schemas.microsoft.com/office/drawing/2012/chart">
                      <c:ext xmlns:c15="http://schemas.microsoft.com/office/drawing/2012/chart" uri="{02D57815-91ED-43cb-92C2-25804820EDAC}">
                        <c15:formulaRef>
                          <c15:sqref>Sheet1!$A$7</c15:sqref>
                        </c15:formulaRef>
                      </c:ext>
                    </c:extLst>
                    <c:strCache>
                      <c:ptCount val="1"/>
                      <c:pt idx="0">
                        <c:v>Total</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dispRSqr val="0"/>
                  <c:dispEq val="1"/>
                  <c:trendlineLbl>
                    <c:layout>
                      <c:manualLayout>
                        <c:x val="9.5835520559930006E-3"/>
                        <c:y val="-0.1460779381743948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extLst xmlns:c15="http://schemas.microsoft.com/office/drawing/2012/chart">
                      <c:ext xmlns:c15="http://schemas.microsoft.com/office/drawing/2012/chart" uri="{02D57815-91ED-43cb-92C2-25804820EDAC}">
                        <c15:formulaRef>
                          <c15:sqref>Sheet1!$B$1:$L$1</c15:sqref>
                        </c15:formulaRef>
                      </c:ext>
                    </c:extLst>
                    <c:strCache>
                      <c:ptCount val="11"/>
                      <c:pt idx="0">
                        <c:v>FY07</c:v>
                      </c:pt>
                      <c:pt idx="1">
                        <c:v>FY08</c:v>
                      </c:pt>
                      <c:pt idx="2">
                        <c:v>FY09</c:v>
                      </c:pt>
                      <c:pt idx="3">
                        <c:v>FY10</c:v>
                      </c:pt>
                      <c:pt idx="4">
                        <c:v>FY11</c:v>
                      </c:pt>
                      <c:pt idx="5">
                        <c:v>FY12</c:v>
                      </c:pt>
                      <c:pt idx="6">
                        <c:v>FY13</c:v>
                      </c:pt>
                      <c:pt idx="7">
                        <c:v>FY14</c:v>
                      </c:pt>
                      <c:pt idx="8">
                        <c:v>FY15</c:v>
                      </c:pt>
                      <c:pt idx="9">
                        <c:v>FY16</c:v>
                      </c:pt>
                      <c:pt idx="10">
                        <c:v>FY17</c:v>
                      </c:pt>
                    </c:strCache>
                  </c:strRef>
                </c:cat>
                <c:val>
                  <c:numRef>
                    <c:extLst xmlns:c15="http://schemas.microsoft.com/office/drawing/2012/chart">
                      <c:ext xmlns:c15="http://schemas.microsoft.com/office/drawing/2012/chart" uri="{02D57815-91ED-43cb-92C2-25804820EDAC}">
                        <c15:formulaRef>
                          <c15:sqref>Sheet1!$B$7:$L$7</c15:sqref>
                        </c15:formulaRef>
                      </c:ext>
                    </c:extLst>
                    <c:numCache>
                      <c:formatCode>0</c:formatCode>
                      <c:ptCount val="11"/>
                      <c:pt idx="0">
                        <c:v>232198.61538461538</c:v>
                      </c:pt>
                      <c:pt idx="1">
                        <c:v>253667.07692307691</c:v>
                      </c:pt>
                      <c:pt idx="2">
                        <c:v>302487.23076923075</c:v>
                      </c:pt>
                      <c:pt idx="3">
                        <c:v>193786.30769230769</c:v>
                      </c:pt>
                      <c:pt idx="4">
                        <c:v>250357.8785046729</c:v>
                      </c:pt>
                      <c:pt idx="5">
                        <c:v>261899.08695652173</c:v>
                      </c:pt>
                      <c:pt idx="6">
                        <c:v>320842.82608695654</c:v>
                      </c:pt>
                      <c:pt idx="7">
                        <c:v>326351.37383932178</c:v>
                      </c:pt>
                      <c:pt idx="8">
                        <c:v>263419.61927906034</c:v>
                      </c:pt>
                      <c:pt idx="9">
                        <c:v>297973.24341838801</c:v>
                      </c:pt>
                      <c:pt idx="10">
                        <c:v>362757.50101255567</c:v>
                      </c:pt>
                    </c:numCache>
                  </c:numRef>
                </c:val>
                <c:smooth val="0"/>
              </c15:ser>
            </c15:filteredLineSeries>
          </c:ext>
        </c:extLst>
      </c:lineChart>
      <c:catAx>
        <c:axId val="41944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43024"/>
        <c:crosses val="autoZero"/>
        <c:auto val="1"/>
        <c:lblAlgn val="ctr"/>
        <c:lblOffset val="100"/>
        <c:noMultiLvlLbl val="0"/>
      </c:catAx>
      <c:valAx>
        <c:axId val="41944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42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02B3-D766-41D0-BD91-31CF9554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greenn</dc:creator>
  <cp:lastModifiedBy>Nicholas Green</cp:lastModifiedBy>
  <cp:revision>35</cp:revision>
  <cp:lastPrinted>2016-10-06T21:34:00Z</cp:lastPrinted>
  <dcterms:created xsi:type="dcterms:W3CDTF">2016-07-21T21:02:00Z</dcterms:created>
  <dcterms:modified xsi:type="dcterms:W3CDTF">2016-10-06T22:16:00Z</dcterms:modified>
</cp:coreProperties>
</file>